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00BF" w:rsidRPr="00F62685" w:rsidRDefault="00DE00BF" w:rsidP="00DE00BF">
      <w:pPr>
        <w:spacing w:after="120" w:line="240" w:lineRule="auto"/>
        <w:jc w:val="center"/>
        <w:rPr>
          <w:rFonts w:ascii="Times New Roman" w:eastAsia="Times New Roman" w:hAnsi="Times New Roman" w:cs="Times New Roman"/>
          <w:b/>
          <w:sz w:val="20"/>
          <w:szCs w:val="20"/>
        </w:rPr>
      </w:pPr>
      <w:bookmarkStart w:id="0" w:name="OLE_LINK8"/>
      <w:bookmarkStart w:id="1" w:name="OLE_LINK7"/>
      <w:bookmarkStart w:id="2" w:name="OLE_LINK15"/>
      <w:bookmarkStart w:id="3" w:name="OLE_LINK14"/>
      <w:bookmarkStart w:id="4" w:name="OLE_LINK49"/>
      <w:bookmarkStart w:id="5" w:name="OLE_LINK48"/>
      <w:bookmarkStart w:id="6" w:name="OLE_LINK27"/>
      <w:bookmarkStart w:id="7" w:name="OLE_LINK26"/>
      <w:bookmarkStart w:id="8" w:name="OLE_LINK25"/>
      <w:r w:rsidRPr="00F62685">
        <w:rPr>
          <w:rFonts w:ascii="Times New Roman" w:eastAsia="Times New Roman" w:hAnsi="Times New Roman" w:cs="Times New Roman"/>
          <w:b/>
          <w:sz w:val="20"/>
          <w:szCs w:val="20"/>
        </w:rPr>
        <w:t>С П Р А В К А</w:t>
      </w:r>
    </w:p>
    <w:p w:rsidR="00DE00BF" w:rsidRPr="00F62685" w:rsidRDefault="00DE00BF" w:rsidP="00DE00BF">
      <w:pPr>
        <w:spacing w:after="120" w:line="240" w:lineRule="auto"/>
        <w:jc w:val="center"/>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 xml:space="preserve">ЗА ОТРАЗЯВАНЕ НА СТАНОВИЩАТА, ПОЛУЧЕНИ СЛЕД СЪГЛАСУВАНЕ ПО ЧЛ. 32 ОТ УПМСНА НА </w:t>
      </w:r>
    </w:p>
    <w:p w:rsidR="00DE00BF" w:rsidRPr="00F62685" w:rsidRDefault="00DE00BF" w:rsidP="00DE00BF">
      <w:pPr>
        <w:spacing w:after="0" w:line="240" w:lineRule="auto"/>
        <w:jc w:val="center"/>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 xml:space="preserve">ПРОЕКТА НА РЕШЕНИЕ НА МИНИСТЕРСКИЯ СЪВЕТ ЗА ОДОБРЯВАНЕ НА ЗАКОНОПРОЕКТ ЗА </w:t>
      </w:r>
    </w:p>
    <w:p w:rsidR="00DE00BF" w:rsidRPr="00F62685" w:rsidRDefault="00DE00BF" w:rsidP="00DE00BF">
      <w:pPr>
        <w:spacing w:after="0" w:line="240" w:lineRule="auto"/>
        <w:jc w:val="center"/>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ДЪРЖАВНИЯ БЮДЖЕТ НА РЕПУБЛИКА БЪЛГАРИЯ ЗА 2024 Г.</w:t>
      </w:r>
      <w:bookmarkEnd w:id="0"/>
      <w:bookmarkEnd w:id="1"/>
      <w:bookmarkEnd w:id="2"/>
      <w:bookmarkEnd w:id="3"/>
      <w:bookmarkEnd w:id="4"/>
      <w:bookmarkEnd w:id="5"/>
      <w:bookmarkEnd w:id="6"/>
      <w:bookmarkEnd w:id="7"/>
      <w:bookmarkEnd w:id="8"/>
    </w:p>
    <w:tbl>
      <w:tblPr>
        <w:tblpPr w:leftFromText="141" w:rightFromText="141" w:vertAnchor="text" w:horzAnchor="margin" w:tblpY="282"/>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6"/>
        <w:gridCol w:w="5749"/>
        <w:gridCol w:w="1767"/>
        <w:gridCol w:w="4976"/>
      </w:tblGrid>
      <w:tr w:rsidR="00DE00BF" w:rsidRPr="00F62685" w:rsidTr="00E9260B">
        <w:trPr>
          <w:trHeight w:val="274"/>
        </w:trPr>
        <w:tc>
          <w:tcPr>
            <w:tcW w:w="941" w:type="pct"/>
            <w:shd w:val="clear" w:color="auto" w:fill="BDD6EE" w:themeFill="accent1" w:themeFillTint="66"/>
            <w:vAlign w:val="center"/>
          </w:tcPr>
          <w:p w:rsidR="00DE00BF" w:rsidRPr="00F62685" w:rsidRDefault="00DE00BF" w:rsidP="00DE00BF">
            <w:pPr>
              <w:spacing w:after="0" w:line="240" w:lineRule="auto"/>
              <w:jc w:val="center"/>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 xml:space="preserve">Бюджетни организации и </w:t>
            </w:r>
          </w:p>
          <w:p w:rsidR="00DE00BF" w:rsidRPr="00F62685" w:rsidRDefault="00DE00BF" w:rsidP="00DE00BF">
            <w:pPr>
              <w:spacing w:after="0" w:line="240" w:lineRule="auto"/>
              <w:jc w:val="center"/>
              <w:rPr>
                <w:rFonts w:ascii="Times New Roman" w:eastAsia="Times New Roman" w:hAnsi="Times New Roman" w:cs="Times New Roman"/>
                <w:sz w:val="20"/>
                <w:szCs w:val="20"/>
              </w:rPr>
            </w:pPr>
            <w:r w:rsidRPr="00F62685">
              <w:rPr>
                <w:rFonts w:ascii="Times New Roman" w:eastAsia="Times New Roman" w:hAnsi="Times New Roman" w:cs="Times New Roman"/>
                <w:b/>
                <w:sz w:val="20"/>
                <w:szCs w:val="20"/>
              </w:rPr>
              <w:t>ЮЛНЦ</w:t>
            </w:r>
          </w:p>
        </w:tc>
        <w:tc>
          <w:tcPr>
            <w:tcW w:w="1868" w:type="pct"/>
            <w:shd w:val="clear" w:color="auto" w:fill="BDD6EE" w:themeFill="accent1" w:themeFillTint="66"/>
            <w:vAlign w:val="center"/>
          </w:tcPr>
          <w:p w:rsidR="00DE00BF" w:rsidRPr="00F62685" w:rsidRDefault="00DE00BF" w:rsidP="00097BFC">
            <w:pPr>
              <w:spacing w:after="60" w:line="240" w:lineRule="auto"/>
              <w:jc w:val="center"/>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Бележки и предложения</w:t>
            </w:r>
          </w:p>
        </w:tc>
        <w:tc>
          <w:tcPr>
            <w:tcW w:w="574" w:type="pct"/>
            <w:shd w:val="clear" w:color="auto" w:fill="BDD6EE" w:themeFill="accent1" w:themeFillTint="66"/>
            <w:vAlign w:val="center"/>
          </w:tcPr>
          <w:p w:rsidR="00DE00BF" w:rsidRPr="00657A5B" w:rsidRDefault="00DE00BF" w:rsidP="00DE00BF">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Приема/</w:t>
            </w:r>
          </w:p>
          <w:p w:rsidR="00DE00BF" w:rsidRPr="00657A5B" w:rsidRDefault="00DE00BF" w:rsidP="00DE00BF">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Не приема предложението</w:t>
            </w:r>
          </w:p>
        </w:tc>
        <w:tc>
          <w:tcPr>
            <w:tcW w:w="1617" w:type="pct"/>
            <w:shd w:val="clear" w:color="auto" w:fill="BDD6EE" w:themeFill="accent1" w:themeFillTint="66"/>
            <w:vAlign w:val="center"/>
          </w:tcPr>
          <w:p w:rsidR="00DE00BF" w:rsidRPr="00F62685" w:rsidRDefault="00DE00BF" w:rsidP="00DE00BF">
            <w:pPr>
              <w:spacing w:after="0" w:line="240" w:lineRule="auto"/>
              <w:jc w:val="center"/>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Мотиви</w:t>
            </w:r>
          </w:p>
        </w:tc>
      </w:tr>
      <w:tr w:rsidR="00DE00BF" w:rsidRPr="00F62685" w:rsidTr="00DE00BF">
        <w:trPr>
          <w:trHeight w:val="64"/>
        </w:trPr>
        <w:tc>
          <w:tcPr>
            <w:tcW w:w="941" w:type="pct"/>
            <w:vAlign w:val="center"/>
          </w:tcPr>
          <w:p w:rsidR="00DE00BF" w:rsidRPr="00F62685" w:rsidRDefault="00DE00BF" w:rsidP="00DE00BF">
            <w:pPr>
              <w:spacing w:before="60" w:after="60" w:line="240" w:lineRule="auto"/>
              <w:contextualSpacing/>
              <w:jc w:val="center"/>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1</w:t>
            </w:r>
          </w:p>
        </w:tc>
        <w:tc>
          <w:tcPr>
            <w:tcW w:w="1868" w:type="pct"/>
            <w:vAlign w:val="center"/>
          </w:tcPr>
          <w:p w:rsidR="00DE00BF" w:rsidRPr="00F62685" w:rsidRDefault="00DE00BF" w:rsidP="00097BFC">
            <w:pPr>
              <w:spacing w:before="60" w:after="60" w:line="240" w:lineRule="auto"/>
              <w:jc w:val="center"/>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2</w:t>
            </w:r>
          </w:p>
        </w:tc>
        <w:tc>
          <w:tcPr>
            <w:tcW w:w="574" w:type="pct"/>
            <w:vAlign w:val="center"/>
          </w:tcPr>
          <w:p w:rsidR="00DE00BF" w:rsidRPr="00657A5B" w:rsidRDefault="00DE00BF" w:rsidP="00DE00BF">
            <w:pPr>
              <w:spacing w:before="60" w:after="6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3</w:t>
            </w:r>
          </w:p>
        </w:tc>
        <w:tc>
          <w:tcPr>
            <w:tcW w:w="1617" w:type="pct"/>
            <w:vAlign w:val="center"/>
          </w:tcPr>
          <w:p w:rsidR="00DE00BF" w:rsidRPr="00F62685" w:rsidRDefault="00DE00BF" w:rsidP="00DE00BF">
            <w:pPr>
              <w:spacing w:before="60" w:after="60" w:line="240" w:lineRule="auto"/>
              <w:jc w:val="center"/>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4</w:t>
            </w:r>
          </w:p>
        </w:tc>
      </w:tr>
      <w:tr w:rsidR="00DE00BF" w:rsidRPr="00F62685" w:rsidTr="00E9260B">
        <w:trPr>
          <w:trHeight w:val="64"/>
        </w:trPr>
        <w:tc>
          <w:tcPr>
            <w:tcW w:w="941" w:type="pct"/>
            <w:shd w:val="clear" w:color="auto" w:fill="BDD6EE" w:themeFill="accent1" w:themeFillTint="66"/>
          </w:tcPr>
          <w:p w:rsidR="00DE00BF" w:rsidRPr="00F62685" w:rsidRDefault="00DE00BF" w:rsidP="00DE00BF">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E00BF" w:rsidRPr="00F62685" w:rsidRDefault="00DE00BF" w:rsidP="00097BFC">
            <w:pPr>
              <w:spacing w:after="60" w:line="240" w:lineRule="auto"/>
              <w:jc w:val="both"/>
              <w:rPr>
                <w:rFonts w:ascii="Times New Roman" w:eastAsia="Times New Roman" w:hAnsi="Times New Roman" w:cs="Times New Roman"/>
                <w:b/>
                <w:sz w:val="20"/>
                <w:szCs w:val="20"/>
              </w:rPr>
            </w:pPr>
          </w:p>
        </w:tc>
        <w:tc>
          <w:tcPr>
            <w:tcW w:w="574" w:type="pct"/>
            <w:shd w:val="clear" w:color="auto" w:fill="BDD6EE" w:themeFill="accent1" w:themeFillTint="66"/>
          </w:tcPr>
          <w:p w:rsidR="00DE00BF" w:rsidRPr="00657A5B" w:rsidRDefault="00DE00BF" w:rsidP="00E9393A">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E00BF" w:rsidRPr="00F62685" w:rsidRDefault="00DE00BF" w:rsidP="00E9393A">
            <w:pPr>
              <w:spacing w:after="0" w:line="240" w:lineRule="auto"/>
              <w:jc w:val="both"/>
              <w:rPr>
                <w:rFonts w:ascii="Times New Roman" w:eastAsia="Times New Roman" w:hAnsi="Times New Roman" w:cs="Times New Roman"/>
                <w:sz w:val="20"/>
                <w:szCs w:val="20"/>
              </w:rPr>
            </w:pPr>
          </w:p>
        </w:tc>
      </w:tr>
      <w:tr w:rsidR="00856C51" w:rsidRPr="00F62685" w:rsidTr="00DE00BF">
        <w:trPr>
          <w:trHeight w:val="161"/>
        </w:trPr>
        <w:tc>
          <w:tcPr>
            <w:tcW w:w="941" w:type="pct"/>
            <w:shd w:val="clear" w:color="auto" w:fill="auto"/>
          </w:tcPr>
          <w:p w:rsidR="00856C51" w:rsidRPr="00F62685" w:rsidRDefault="00856C51" w:rsidP="00856C51">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ЗАМЕСТНИК МИНИСТЪР-ПРЕДСЕДАТЕЛ И МИНИСТЪР НА ВЪНШНИТЕ РАБОТИ</w:t>
            </w:r>
          </w:p>
        </w:tc>
        <w:tc>
          <w:tcPr>
            <w:tcW w:w="1868" w:type="pct"/>
            <w:shd w:val="clear" w:color="auto" w:fill="auto"/>
          </w:tcPr>
          <w:p w:rsidR="00856C51" w:rsidRDefault="00856C51"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Министерство на външните работи съгласува със следните бележки и предложения проекта на Решение на Министерския съвет за одобряване на законопроект за държавния бюджет на Република България за 2024 г. и материалите към него, на основание чл. 32 от УПМСНА:</w:t>
            </w:r>
          </w:p>
        </w:tc>
        <w:tc>
          <w:tcPr>
            <w:tcW w:w="574" w:type="pct"/>
            <w:shd w:val="clear" w:color="auto" w:fill="auto"/>
          </w:tcPr>
          <w:p w:rsidR="00856C51" w:rsidRPr="00657A5B" w:rsidRDefault="00856C51" w:rsidP="00856C51">
            <w:pPr>
              <w:spacing w:after="0" w:line="240" w:lineRule="auto"/>
              <w:jc w:val="center"/>
              <w:rPr>
                <w:rFonts w:ascii="Times New Roman" w:eastAsia="Times New Roman" w:hAnsi="Times New Roman" w:cs="Times New Roman"/>
                <w:b/>
                <w:sz w:val="20"/>
                <w:szCs w:val="20"/>
              </w:rPr>
            </w:pPr>
          </w:p>
          <w:p w:rsidR="00856C51" w:rsidRPr="00657A5B" w:rsidRDefault="00856C51" w:rsidP="00856C51">
            <w:pPr>
              <w:spacing w:after="0" w:line="240" w:lineRule="auto"/>
              <w:jc w:val="center"/>
              <w:rPr>
                <w:rFonts w:ascii="Times New Roman" w:eastAsia="Times New Roman" w:hAnsi="Times New Roman" w:cs="Times New Roman"/>
                <w:b/>
                <w:sz w:val="20"/>
                <w:szCs w:val="20"/>
              </w:rPr>
            </w:pPr>
          </w:p>
          <w:p w:rsidR="00856C51" w:rsidRPr="00657A5B" w:rsidRDefault="00856C51" w:rsidP="00856C51">
            <w:pPr>
              <w:spacing w:after="0" w:line="240" w:lineRule="auto"/>
              <w:jc w:val="center"/>
              <w:rPr>
                <w:rFonts w:ascii="Times New Roman" w:eastAsia="Times New Roman" w:hAnsi="Times New Roman" w:cs="Times New Roman"/>
                <w:b/>
                <w:sz w:val="20"/>
                <w:szCs w:val="20"/>
              </w:rPr>
            </w:pPr>
          </w:p>
          <w:p w:rsidR="00856C51" w:rsidRPr="00657A5B" w:rsidRDefault="00856C51" w:rsidP="00856C51">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856C51" w:rsidRDefault="00856C51" w:rsidP="00856C51">
            <w:pPr>
              <w:spacing w:after="0" w:line="240" w:lineRule="auto"/>
              <w:jc w:val="both"/>
              <w:rPr>
                <w:rFonts w:ascii="Times New Roman" w:eastAsia="Times New Roman" w:hAnsi="Times New Roman" w:cs="Times New Roman"/>
                <w:sz w:val="20"/>
                <w:szCs w:val="20"/>
              </w:rPr>
            </w:pPr>
          </w:p>
          <w:p w:rsidR="001B1572" w:rsidRDefault="001B1572" w:rsidP="00856C51">
            <w:pPr>
              <w:spacing w:after="0" w:line="240" w:lineRule="auto"/>
              <w:jc w:val="both"/>
              <w:rPr>
                <w:rFonts w:ascii="Times New Roman" w:eastAsia="Times New Roman" w:hAnsi="Times New Roman" w:cs="Times New Roman"/>
                <w:sz w:val="20"/>
                <w:szCs w:val="20"/>
              </w:rPr>
            </w:pPr>
          </w:p>
          <w:p w:rsidR="001B1572" w:rsidRDefault="001B1572" w:rsidP="00856C51">
            <w:pPr>
              <w:spacing w:after="0" w:line="240" w:lineRule="auto"/>
              <w:jc w:val="both"/>
              <w:rPr>
                <w:rFonts w:ascii="Times New Roman" w:eastAsia="Times New Roman" w:hAnsi="Times New Roman" w:cs="Times New Roman"/>
                <w:sz w:val="20"/>
                <w:szCs w:val="20"/>
              </w:rPr>
            </w:pPr>
          </w:p>
          <w:p w:rsidR="00856C51" w:rsidRDefault="00856C51" w:rsidP="00856C51">
            <w:pPr>
              <w:spacing w:after="0" w:line="240" w:lineRule="auto"/>
              <w:jc w:val="both"/>
              <w:rPr>
                <w:rFonts w:ascii="Times New Roman" w:eastAsia="Times New Roman" w:hAnsi="Times New Roman" w:cs="Times New Roman"/>
                <w:sz w:val="20"/>
                <w:szCs w:val="20"/>
              </w:rPr>
            </w:pPr>
          </w:p>
          <w:p w:rsidR="00856C51" w:rsidRDefault="00856C51" w:rsidP="00856C51">
            <w:pPr>
              <w:spacing w:after="0" w:line="240" w:lineRule="auto"/>
              <w:jc w:val="both"/>
              <w:rPr>
                <w:rFonts w:ascii="Times New Roman" w:eastAsia="Times New Roman" w:hAnsi="Times New Roman" w:cs="Times New Roman"/>
                <w:sz w:val="20"/>
                <w:szCs w:val="20"/>
              </w:rPr>
            </w:pPr>
          </w:p>
        </w:tc>
      </w:tr>
      <w:tr w:rsidR="001B1572" w:rsidRPr="00F62685" w:rsidTr="001B1572">
        <w:trPr>
          <w:trHeight w:val="64"/>
        </w:trPr>
        <w:tc>
          <w:tcPr>
            <w:tcW w:w="941" w:type="pct"/>
            <w:shd w:val="clear" w:color="auto" w:fill="auto"/>
          </w:tcPr>
          <w:p w:rsidR="001B1572" w:rsidRPr="00F62685" w:rsidRDefault="001B1572" w:rsidP="00E9393A">
            <w:pPr>
              <w:spacing w:after="0" w:line="240" w:lineRule="auto"/>
              <w:rPr>
                <w:rFonts w:ascii="Times New Roman" w:eastAsia="Times New Roman" w:hAnsi="Times New Roman" w:cs="Times New Roman"/>
                <w:b/>
                <w:sz w:val="20"/>
                <w:szCs w:val="20"/>
              </w:rPr>
            </w:pPr>
          </w:p>
        </w:tc>
        <w:tc>
          <w:tcPr>
            <w:tcW w:w="1868" w:type="pct"/>
            <w:shd w:val="clear" w:color="auto" w:fill="auto"/>
          </w:tcPr>
          <w:p w:rsidR="001B1572" w:rsidRDefault="001B1572"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 В Централния бюджет да бъдат предвидени следните средства:</w:t>
            </w:r>
          </w:p>
          <w:p w:rsidR="001B1572" w:rsidRDefault="001B1572"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Разходи за персонал - за изравняване на заплатите в МВнР и зад граница - 6 млн. лв.;</w:t>
            </w:r>
          </w:p>
          <w:p w:rsidR="001B1572" w:rsidRDefault="001B1572" w:rsidP="00097BFC">
            <w:pPr>
              <w:spacing w:after="60" w:line="240" w:lineRule="auto"/>
              <w:jc w:val="both"/>
              <w:rPr>
                <w:rFonts w:ascii="Times New Roman" w:eastAsia="Times New Roman" w:hAnsi="Times New Roman" w:cs="Times New Roman"/>
                <w:sz w:val="20"/>
                <w:szCs w:val="20"/>
              </w:rPr>
            </w:pPr>
          </w:p>
        </w:tc>
        <w:tc>
          <w:tcPr>
            <w:tcW w:w="574" w:type="pct"/>
            <w:shd w:val="clear" w:color="auto" w:fill="auto"/>
          </w:tcPr>
          <w:p w:rsidR="001B1572" w:rsidRPr="00657A5B" w:rsidRDefault="001B1572" w:rsidP="001B1572">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Приема се по принцип</w:t>
            </w:r>
          </w:p>
          <w:p w:rsidR="001B1572" w:rsidRPr="00657A5B" w:rsidRDefault="001B1572" w:rsidP="001B1572">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1B1572" w:rsidRDefault="001B1572" w:rsidP="00185DFD">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 проектът на ЗДБРБ за 2024 г. са предвидени средства за преодоляване на диспропорции във възнагражденията на персонала в бюджетните организации с оглед изглаждане на наблюдавани значителни дисбаланси/неравенства в нивото на заплащане в различни административни звена и структури в секторите, предоставящи публични услуги. Предвидено е средствата да бъдат разпределяни с акт на Министерския съвет.</w:t>
            </w:r>
          </w:p>
        </w:tc>
      </w:tr>
      <w:tr w:rsidR="001B1572" w:rsidRPr="00F62685" w:rsidTr="001B1572">
        <w:trPr>
          <w:trHeight w:val="64"/>
        </w:trPr>
        <w:tc>
          <w:tcPr>
            <w:tcW w:w="941" w:type="pct"/>
            <w:shd w:val="clear" w:color="auto" w:fill="auto"/>
          </w:tcPr>
          <w:p w:rsidR="001B1572" w:rsidRPr="00F62685" w:rsidRDefault="001B1572" w:rsidP="00E9393A">
            <w:pPr>
              <w:spacing w:after="0" w:line="240" w:lineRule="auto"/>
              <w:rPr>
                <w:rFonts w:ascii="Times New Roman" w:eastAsia="Times New Roman" w:hAnsi="Times New Roman" w:cs="Times New Roman"/>
                <w:b/>
                <w:sz w:val="20"/>
                <w:szCs w:val="20"/>
              </w:rPr>
            </w:pPr>
          </w:p>
        </w:tc>
        <w:tc>
          <w:tcPr>
            <w:tcW w:w="1868" w:type="pct"/>
            <w:shd w:val="clear" w:color="auto" w:fill="auto"/>
          </w:tcPr>
          <w:p w:rsidR="001B1572" w:rsidRDefault="001B1572"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За подпомагане развитието на историческите български общности в чужбина - 2,1 млн. лв.;</w:t>
            </w:r>
          </w:p>
          <w:p w:rsidR="001B1572" w:rsidRDefault="001B1572" w:rsidP="00097BFC">
            <w:pPr>
              <w:spacing w:after="60" w:line="240" w:lineRule="auto"/>
              <w:jc w:val="both"/>
              <w:rPr>
                <w:rFonts w:ascii="Times New Roman" w:eastAsia="Times New Roman" w:hAnsi="Times New Roman" w:cs="Times New Roman"/>
                <w:sz w:val="20"/>
                <w:szCs w:val="20"/>
              </w:rPr>
            </w:pPr>
          </w:p>
          <w:p w:rsidR="001B1572" w:rsidRDefault="001B1572" w:rsidP="00097BFC">
            <w:pPr>
              <w:spacing w:after="60" w:line="240" w:lineRule="auto"/>
              <w:jc w:val="both"/>
              <w:rPr>
                <w:rFonts w:ascii="Times New Roman" w:eastAsia="Times New Roman" w:hAnsi="Times New Roman" w:cs="Times New Roman"/>
                <w:sz w:val="20"/>
                <w:szCs w:val="20"/>
                <w:highlight w:val="yellow"/>
              </w:rPr>
            </w:pPr>
          </w:p>
        </w:tc>
        <w:tc>
          <w:tcPr>
            <w:tcW w:w="574" w:type="pct"/>
            <w:shd w:val="clear" w:color="auto" w:fill="auto"/>
          </w:tcPr>
          <w:p w:rsidR="001B1572" w:rsidRPr="00657A5B" w:rsidRDefault="001B1572" w:rsidP="001B1572">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Приема се по принцип</w:t>
            </w:r>
          </w:p>
          <w:p w:rsidR="001B1572" w:rsidRPr="00657A5B" w:rsidRDefault="001B1572" w:rsidP="001B1572">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1B1572" w:rsidRDefault="00A1235D" w:rsidP="001B1572">
            <w:pPr>
              <w:spacing w:after="0" w:line="240" w:lineRule="auto"/>
              <w:jc w:val="both"/>
              <w:rPr>
                <w:rFonts w:ascii="Times New Roman" w:eastAsia="Times New Roman" w:hAnsi="Times New Roman" w:cs="Times New Roman"/>
                <w:sz w:val="20"/>
                <w:szCs w:val="20"/>
                <w:highlight w:val="yellow"/>
              </w:rPr>
            </w:pPr>
            <w:r w:rsidRPr="004366E6">
              <w:rPr>
                <w:rFonts w:ascii="Times New Roman" w:eastAsia="Times New Roman" w:hAnsi="Times New Roman" w:cs="Times New Roman"/>
                <w:sz w:val="20"/>
                <w:szCs w:val="20"/>
              </w:rPr>
              <w:t>Отразена е промяна в чл. 1, ал. 5, в област Външна по</w:t>
            </w:r>
            <w:r>
              <w:rPr>
                <w:rFonts w:ascii="Times New Roman" w:eastAsia="Times New Roman" w:hAnsi="Times New Roman" w:cs="Times New Roman"/>
                <w:sz w:val="20"/>
                <w:szCs w:val="20"/>
              </w:rPr>
              <w:t>литика, като в чл. 1 ал. 5, т. 6</w:t>
            </w:r>
            <w:r w:rsidRPr="004366E6">
              <w:rPr>
                <w:rFonts w:ascii="Times New Roman" w:eastAsia="Times New Roman" w:hAnsi="Times New Roman" w:cs="Times New Roman"/>
                <w:sz w:val="20"/>
                <w:szCs w:val="20"/>
              </w:rPr>
              <w:t>.3 са предвидени 2,1 млн. лв. за подпомагане развитието на историческите български общности в чужбина.</w:t>
            </w:r>
          </w:p>
        </w:tc>
      </w:tr>
      <w:tr w:rsidR="001B1572" w:rsidRPr="00F62685" w:rsidTr="001B1572">
        <w:trPr>
          <w:trHeight w:val="64"/>
        </w:trPr>
        <w:tc>
          <w:tcPr>
            <w:tcW w:w="941" w:type="pct"/>
            <w:shd w:val="clear" w:color="auto" w:fill="auto"/>
          </w:tcPr>
          <w:p w:rsidR="001B1572" w:rsidRPr="00F62685" w:rsidRDefault="001B1572" w:rsidP="00E9393A">
            <w:pPr>
              <w:spacing w:after="0" w:line="240" w:lineRule="auto"/>
              <w:rPr>
                <w:rFonts w:ascii="Times New Roman" w:eastAsia="Times New Roman" w:hAnsi="Times New Roman" w:cs="Times New Roman"/>
                <w:b/>
                <w:sz w:val="20"/>
                <w:szCs w:val="20"/>
              </w:rPr>
            </w:pPr>
          </w:p>
        </w:tc>
        <w:tc>
          <w:tcPr>
            <w:tcW w:w="1868" w:type="pct"/>
            <w:shd w:val="clear" w:color="auto" w:fill="auto"/>
          </w:tcPr>
          <w:p w:rsidR="001B1572" w:rsidRPr="00AC2562" w:rsidRDefault="001B1572" w:rsidP="00097BFC">
            <w:pPr>
              <w:spacing w:after="60" w:line="240" w:lineRule="auto"/>
              <w:jc w:val="both"/>
              <w:rPr>
                <w:rFonts w:ascii="Times New Roman" w:eastAsia="Times New Roman" w:hAnsi="Times New Roman" w:cs="Times New Roman"/>
                <w:sz w:val="20"/>
                <w:szCs w:val="20"/>
              </w:rPr>
            </w:pPr>
            <w:r w:rsidRPr="00AC2562">
              <w:rPr>
                <w:rFonts w:ascii="Times New Roman" w:eastAsia="Times New Roman" w:hAnsi="Times New Roman" w:cs="Times New Roman"/>
                <w:sz w:val="20"/>
                <w:szCs w:val="20"/>
              </w:rPr>
              <w:t>•  За програмата „Бранд България“ - 2,1 млн. лв.;</w:t>
            </w:r>
          </w:p>
        </w:tc>
        <w:tc>
          <w:tcPr>
            <w:tcW w:w="574" w:type="pct"/>
            <w:shd w:val="clear" w:color="auto" w:fill="auto"/>
          </w:tcPr>
          <w:p w:rsidR="00AC2562" w:rsidRPr="00657A5B" w:rsidRDefault="00AC2562" w:rsidP="00AC2562">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Приема се по принцип</w:t>
            </w:r>
          </w:p>
          <w:p w:rsidR="001B1572" w:rsidRPr="00657A5B" w:rsidRDefault="001B1572" w:rsidP="001B1572">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1B1572" w:rsidRPr="00802343" w:rsidRDefault="002F2D41" w:rsidP="00A1235D">
            <w:pPr>
              <w:spacing w:after="0" w:line="240" w:lineRule="auto"/>
              <w:jc w:val="both"/>
              <w:rPr>
                <w:rFonts w:ascii="Times New Roman" w:eastAsia="Times New Roman" w:hAnsi="Times New Roman"/>
                <w:sz w:val="20"/>
                <w:szCs w:val="20"/>
                <w:lang w:val="ru-RU"/>
              </w:rPr>
            </w:pPr>
            <w:r>
              <w:rPr>
                <w:rFonts w:ascii="Times New Roman" w:eastAsia="Times New Roman" w:hAnsi="Times New Roman"/>
                <w:sz w:val="20"/>
                <w:szCs w:val="20"/>
              </w:rPr>
              <w:t xml:space="preserve">Отразена е промяна в чл. 1, ал. 5, в област Външна политика, като в чл. 1 ал. 5, т. </w:t>
            </w:r>
            <w:r w:rsidR="00A1235D">
              <w:rPr>
                <w:rFonts w:ascii="Times New Roman" w:eastAsia="Times New Roman" w:hAnsi="Times New Roman"/>
                <w:sz w:val="20"/>
                <w:szCs w:val="20"/>
              </w:rPr>
              <w:t>6</w:t>
            </w:r>
            <w:r>
              <w:rPr>
                <w:rFonts w:ascii="Times New Roman" w:eastAsia="Times New Roman" w:hAnsi="Times New Roman"/>
                <w:sz w:val="20"/>
                <w:szCs w:val="20"/>
              </w:rPr>
              <w:t>.</w:t>
            </w:r>
            <w:r w:rsidR="00A1235D">
              <w:rPr>
                <w:rFonts w:ascii="Times New Roman" w:eastAsia="Times New Roman" w:hAnsi="Times New Roman"/>
                <w:sz w:val="20"/>
                <w:szCs w:val="20"/>
              </w:rPr>
              <w:t>2</w:t>
            </w:r>
            <w:r w:rsidR="005B105C">
              <w:rPr>
                <w:rFonts w:ascii="Times New Roman" w:eastAsia="Times New Roman" w:hAnsi="Times New Roman"/>
                <w:sz w:val="20"/>
                <w:szCs w:val="20"/>
              </w:rPr>
              <w:t xml:space="preserve"> са предвидени 2,1 млн. лв. за</w:t>
            </w:r>
            <w:r w:rsidR="00802343">
              <w:t xml:space="preserve"> </w:t>
            </w:r>
            <w:r w:rsidR="00802343" w:rsidRPr="00802343">
              <w:rPr>
                <w:rFonts w:ascii="Times New Roman" w:eastAsia="Times New Roman" w:hAnsi="Times New Roman"/>
                <w:sz w:val="20"/>
                <w:szCs w:val="20"/>
              </w:rPr>
              <w:t>стратегическа комуникация, публична и културна дипломация и популяризирането на „Бранд България“</w:t>
            </w:r>
            <w:r w:rsidR="00802343" w:rsidRPr="00802343">
              <w:rPr>
                <w:rFonts w:ascii="Times New Roman" w:eastAsia="Times New Roman" w:hAnsi="Times New Roman"/>
                <w:sz w:val="20"/>
                <w:szCs w:val="20"/>
                <w:lang w:val="ru-RU"/>
              </w:rPr>
              <w:t>.</w:t>
            </w:r>
          </w:p>
        </w:tc>
      </w:tr>
      <w:tr w:rsidR="001B1572" w:rsidRPr="00F62685" w:rsidTr="001B1572">
        <w:trPr>
          <w:trHeight w:val="64"/>
        </w:trPr>
        <w:tc>
          <w:tcPr>
            <w:tcW w:w="941" w:type="pct"/>
            <w:shd w:val="clear" w:color="auto" w:fill="auto"/>
          </w:tcPr>
          <w:p w:rsidR="001B1572" w:rsidRPr="00F62685" w:rsidRDefault="001B1572" w:rsidP="00E9393A">
            <w:pPr>
              <w:spacing w:after="0" w:line="240" w:lineRule="auto"/>
              <w:rPr>
                <w:rFonts w:ascii="Times New Roman" w:eastAsia="Times New Roman" w:hAnsi="Times New Roman" w:cs="Times New Roman"/>
                <w:b/>
                <w:sz w:val="20"/>
                <w:szCs w:val="20"/>
              </w:rPr>
            </w:pPr>
          </w:p>
        </w:tc>
        <w:tc>
          <w:tcPr>
            <w:tcW w:w="1868" w:type="pct"/>
            <w:shd w:val="clear" w:color="auto" w:fill="auto"/>
          </w:tcPr>
          <w:p w:rsidR="001B1572" w:rsidRDefault="001B1572"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За увеличението на възнагражденията на местни лица, работещи в нашите задгранични представителства - 1,5 млн. лв.;</w:t>
            </w:r>
          </w:p>
          <w:p w:rsidR="001B1572" w:rsidRDefault="001B1572"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Допълнителни средства за увеличението на цените на енергоносителите, като те ще бъдат изплатени на основата на реално направени разходи - 1 млн. лв.</w:t>
            </w:r>
          </w:p>
          <w:p w:rsidR="001B1572" w:rsidRDefault="001B1572" w:rsidP="00097BFC">
            <w:pPr>
              <w:spacing w:after="60" w:line="240" w:lineRule="auto"/>
              <w:jc w:val="both"/>
              <w:rPr>
                <w:rFonts w:ascii="Times New Roman" w:eastAsia="Times New Roman" w:hAnsi="Times New Roman" w:cs="Times New Roman"/>
                <w:sz w:val="20"/>
                <w:szCs w:val="20"/>
              </w:rPr>
            </w:pPr>
          </w:p>
          <w:p w:rsidR="001B1572" w:rsidRDefault="001B1572" w:rsidP="00097BFC">
            <w:pPr>
              <w:spacing w:after="60" w:line="240" w:lineRule="auto"/>
              <w:jc w:val="both"/>
              <w:rPr>
                <w:rFonts w:ascii="Times New Roman" w:eastAsia="Times New Roman" w:hAnsi="Times New Roman" w:cs="Times New Roman"/>
                <w:sz w:val="20"/>
                <w:szCs w:val="20"/>
              </w:rPr>
            </w:pPr>
          </w:p>
        </w:tc>
        <w:tc>
          <w:tcPr>
            <w:tcW w:w="574" w:type="pct"/>
            <w:shd w:val="clear" w:color="auto" w:fill="auto"/>
          </w:tcPr>
          <w:p w:rsidR="001B1572" w:rsidRPr="00657A5B" w:rsidRDefault="001B1572" w:rsidP="001B1572">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Не се приема</w:t>
            </w:r>
          </w:p>
          <w:p w:rsidR="001B1572" w:rsidRPr="00657A5B" w:rsidRDefault="001B1572" w:rsidP="00E9393A">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1B1572" w:rsidRDefault="001B1572" w:rsidP="001B1572">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Предложеният размер на разходите по бюджета на МВнР е съобразен с възможностите на държавния бюджет за 2024 г., базиран на есенната макроикономическа прогноза на Министерството на финансите, на действащото законодателство, прилагане на възприетите политики и допускания от правителството за периода 2024-2026 г., отчетни данни и оценка на възможностите за реализиране на </w:t>
            </w:r>
            <w:r>
              <w:rPr>
                <w:rFonts w:ascii="Times New Roman" w:eastAsia="Times New Roman" w:hAnsi="Times New Roman" w:cs="Times New Roman"/>
                <w:sz w:val="20"/>
                <w:szCs w:val="20"/>
              </w:rPr>
              <w:lastRenderedPageBreak/>
              <w:t>инвестиционните разходи в рамките на бюджетната година, предприетите оптимизиращи приходни и разходни мерки със съответните ефекти и предложения за законодателни промени.</w:t>
            </w:r>
          </w:p>
          <w:p w:rsidR="001B1572" w:rsidRDefault="001B1572" w:rsidP="001B1572">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 тази връзка и предвид ограниченото фискално пространство, на този етап предложения за увеличения в разходната част не биха могли да бъдат удовлетворени.</w:t>
            </w:r>
          </w:p>
        </w:tc>
      </w:tr>
      <w:tr w:rsidR="001B1572" w:rsidRPr="00F62685" w:rsidTr="001B1572">
        <w:trPr>
          <w:trHeight w:val="64"/>
        </w:trPr>
        <w:tc>
          <w:tcPr>
            <w:tcW w:w="941" w:type="pct"/>
            <w:shd w:val="clear" w:color="auto" w:fill="auto"/>
          </w:tcPr>
          <w:p w:rsidR="001B1572" w:rsidRPr="00F62685" w:rsidRDefault="001B1572" w:rsidP="00E9393A">
            <w:pPr>
              <w:spacing w:after="0" w:line="240" w:lineRule="auto"/>
              <w:rPr>
                <w:rFonts w:ascii="Times New Roman" w:eastAsia="Times New Roman" w:hAnsi="Times New Roman" w:cs="Times New Roman"/>
                <w:b/>
                <w:sz w:val="20"/>
                <w:szCs w:val="20"/>
              </w:rPr>
            </w:pPr>
          </w:p>
        </w:tc>
        <w:tc>
          <w:tcPr>
            <w:tcW w:w="1868" w:type="pct"/>
            <w:shd w:val="clear" w:color="auto" w:fill="auto"/>
          </w:tcPr>
          <w:p w:rsidR="001B1572" w:rsidRDefault="001B1572"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 В бюджета на МВнР да бъдат включени и следните разходи:</w:t>
            </w:r>
          </w:p>
          <w:p w:rsidR="001B1572" w:rsidRDefault="001B1572"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За изработката на 2D баркод, който се изисква, предвид присъединяването на страната към </w:t>
            </w:r>
            <w:proofErr w:type="spellStart"/>
            <w:r>
              <w:rPr>
                <w:rFonts w:ascii="Times New Roman" w:eastAsia="Times New Roman" w:hAnsi="Times New Roman" w:cs="Times New Roman"/>
                <w:sz w:val="20"/>
                <w:szCs w:val="20"/>
              </w:rPr>
              <w:t>Шенген</w:t>
            </w:r>
            <w:proofErr w:type="spellEnd"/>
            <w:r>
              <w:rPr>
                <w:rFonts w:ascii="Times New Roman" w:eastAsia="Times New Roman" w:hAnsi="Times New Roman" w:cs="Times New Roman"/>
                <w:sz w:val="20"/>
                <w:szCs w:val="20"/>
              </w:rPr>
              <w:t xml:space="preserve"> и, който се прилага за визите на граждани на трети страни, които имат визов режим с ЕС - 2 млн. лв.</w:t>
            </w:r>
          </w:p>
          <w:p w:rsidR="001B1572" w:rsidRPr="00F62685" w:rsidRDefault="001B1572"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За закупуване на мобилни биометрични станции от нов тип, предвид въвеждането от МВР на изцяло нова система за издаване на лични документи - 2 млн. лв.</w:t>
            </w:r>
          </w:p>
        </w:tc>
        <w:tc>
          <w:tcPr>
            <w:tcW w:w="574" w:type="pct"/>
            <w:shd w:val="clear" w:color="auto" w:fill="auto"/>
          </w:tcPr>
          <w:p w:rsidR="001B1572" w:rsidRPr="00657A5B" w:rsidRDefault="001B1572" w:rsidP="00E9393A">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Не се приема</w:t>
            </w:r>
          </w:p>
        </w:tc>
        <w:tc>
          <w:tcPr>
            <w:tcW w:w="1617" w:type="pct"/>
            <w:shd w:val="clear" w:color="auto" w:fill="auto"/>
          </w:tcPr>
          <w:p w:rsidR="001B1572" w:rsidRPr="00F62685" w:rsidRDefault="001B1572" w:rsidP="00E9393A">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Предвид ролята на МВР по тези процеси, финансирането да бъде реализирано съвместно с МВР.</w:t>
            </w:r>
          </w:p>
        </w:tc>
      </w:tr>
      <w:tr w:rsidR="00DE00BF" w:rsidRPr="00F62685" w:rsidTr="00E9260B">
        <w:trPr>
          <w:trHeight w:val="64"/>
        </w:trPr>
        <w:tc>
          <w:tcPr>
            <w:tcW w:w="941" w:type="pct"/>
            <w:shd w:val="clear" w:color="auto" w:fill="BDD6EE" w:themeFill="accent1" w:themeFillTint="66"/>
          </w:tcPr>
          <w:p w:rsidR="00DE00BF" w:rsidRPr="00F62685" w:rsidRDefault="00DE00BF" w:rsidP="00E9393A">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E00BF" w:rsidRPr="00F62685" w:rsidRDefault="00DE00BF"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E00BF" w:rsidRPr="00657A5B" w:rsidRDefault="00DE00BF" w:rsidP="00E9393A">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E00BF" w:rsidRPr="00F62685" w:rsidRDefault="00DE00BF" w:rsidP="00E9393A">
            <w:pPr>
              <w:spacing w:after="0" w:line="240" w:lineRule="auto"/>
              <w:jc w:val="both"/>
              <w:rPr>
                <w:rFonts w:ascii="Times New Roman" w:eastAsia="Times New Roman" w:hAnsi="Times New Roman" w:cs="Times New Roman"/>
                <w:sz w:val="20"/>
                <w:szCs w:val="20"/>
              </w:rPr>
            </w:pPr>
          </w:p>
        </w:tc>
      </w:tr>
      <w:tr w:rsidR="00A55C00" w:rsidRPr="00F62685" w:rsidTr="00DE00BF">
        <w:trPr>
          <w:trHeight w:val="161"/>
        </w:trPr>
        <w:tc>
          <w:tcPr>
            <w:tcW w:w="941" w:type="pct"/>
            <w:shd w:val="clear" w:color="auto" w:fill="auto"/>
          </w:tcPr>
          <w:p w:rsidR="00A55C00" w:rsidRPr="00F62685" w:rsidRDefault="00A55C00" w:rsidP="00A55C00">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МИНИСТЕРСТВО НА ВЪТРЕШНИТЕ РАБОТИ</w:t>
            </w:r>
          </w:p>
        </w:tc>
        <w:tc>
          <w:tcPr>
            <w:tcW w:w="1868" w:type="pct"/>
            <w:shd w:val="clear" w:color="auto" w:fill="auto"/>
          </w:tcPr>
          <w:p w:rsidR="00A55C00" w:rsidRPr="00F62685" w:rsidRDefault="00A55C00"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МВР изразява следното становище във връзка с изпратения за съгласуване проект на Решение на Министерския съвет за одобряване на законопроект за държавния бюджет на Република България за 2024 г. и материалите към него на основание чл. 32 от УПМСНА:</w:t>
            </w:r>
          </w:p>
          <w:p w:rsidR="00A55C00" w:rsidRPr="00F62685" w:rsidRDefault="00A55C00" w:rsidP="00097BFC">
            <w:pPr>
              <w:spacing w:after="60" w:line="240" w:lineRule="auto"/>
              <w:jc w:val="both"/>
              <w:rPr>
                <w:rFonts w:ascii="Times New Roman" w:eastAsia="Times New Roman" w:hAnsi="Times New Roman" w:cs="Times New Roman"/>
                <w:sz w:val="20"/>
                <w:szCs w:val="20"/>
              </w:rPr>
            </w:pPr>
          </w:p>
          <w:p w:rsidR="00A55C00" w:rsidRPr="00F62685" w:rsidRDefault="00A55C00"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II.</w:t>
            </w:r>
            <w:r w:rsidRPr="00F62685">
              <w:rPr>
                <w:rFonts w:ascii="Times New Roman" w:eastAsia="Times New Roman" w:hAnsi="Times New Roman" w:cs="Times New Roman"/>
                <w:sz w:val="20"/>
                <w:szCs w:val="20"/>
              </w:rPr>
              <w:tab/>
            </w:r>
            <w:r>
              <w:rPr>
                <w:rFonts w:ascii="Times New Roman" w:eastAsia="Times New Roman" w:hAnsi="Times New Roman" w:cs="Times New Roman"/>
                <w:sz w:val="20"/>
                <w:szCs w:val="20"/>
              </w:rPr>
              <w:t>С</w:t>
            </w:r>
            <w:r w:rsidRPr="00F62685">
              <w:rPr>
                <w:rFonts w:ascii="Times New Roman" w:eastAsia="Times New Roman" w:hAnsi="Times New Roman" w:cs="Times New Roman"/>
                <w:sz w:val="20"/>
                <w:szCs w:val="20"/>
              </w:rPr>
              <w:t xml:space="preserve"> писмо </w:t>
            </w:r>
            <w:proofErr w:type="spellStart"/>
            <w:r w:rsidRPr="00F62685">
              <w:rPr>
                <w:rFonts w:ascii="Times New Roman" w:eastAsia="Times New Roman" w:hAnsi="Times New Roman" w:cs="Times New Roman"/>
                <w:sz w:val="20"/>
                <w:szCs w:val="20"/>
              </w:rPr>
              <w:t>per</w:t>
            </w:r>
            <w:proofErr w:type="spellEnd"/>
            <w:r w:rsidRPr="00F62685">
              <w:rPr>
                <w:rFonts w:ascii="Times New Roman" w:eastAsia="Times New Roman" w:hAnsi="Times New Roman" w:cs="Times New Roman"/>
                <w:sz w:val="20"/>
                <w:szCs w:val="20"/>
              </w:rPr>
              <w:t>. № 812100-19621/07.11.2023 г. до Министерството на финансите. МВР изложи необходимост от осигуряване на допълнителни финансови средства по проектобюджета на МВР за 2024 г.</w:t>
            </w:r>
          </w:p>
          <w:p w:rsidR="00A55C00" w:rsidRPr="00F62685" w:rsidRDefault="00A55C00"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В рамките на разчетените средства по показател „Персонал“ в проекта на бюджет на МВР за 2024 г.. остават неосигурени средства, както следва:</w:t>
            </w:r>
          </w:p>
          <w:p w:rsidR="00A55C00" w:rsidRPr="00F62685" w:rsidRDefault="00A55C00"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За осигуряване на фактическата численост на персонала към настоящия момент и при допускането за 20 на сто увеличение на настоящите размери на възнагражденията от 01.01.2024 г., необходимите допълнителни разходи по показател „Персонал“ по бюджета на МВР за 2024 г. са общо в размер на 473 721,0 хил. лв., разчетени за: разходи за заплати и възнаграждения за персонала, нает по трудови и служебни правоотношения - 271 714,0 хил. лв., други възнаграждения и плащания за персонала - 19669,0 хил. лв. и за задължителни осигурителни вноски от работодатели - 182 338,0 хил. лв.</w:t>
            </w:r>
          </w:p>
          <w:p w:rsidR="00A55C00" w:rsidRPr="00F62685" w:rsidRDefault="00A55C00"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lastRenderedPageBreak/>
              <w:t>В допълнение, за осигуряване на щатната численост на персонала (49 794 бр. съгласно чл. 104 от ПУДМВР) за 2024 г. и при допускането за 20 на сто увеличение на настоящите размери на възнагражденията от 01.01.2024 г., необходимите допълнителни разходи по показател „Персонал“ по бюджета на МВР за 2024 г. са общо в размер на 503 399,0 хил. лв., разчетени за: разходи за заплати и възнаграждения за персонала, нает по трудови и служебни правоотношения - 291 004,0 хил. лв., други възнаграждения и плащания за персонала - 19 669,0 хил. лв. и за задължителни осигурителни вноски от работодатели - 192 726,0 хил. лв.</w:t>
            </w:r>
          </w:p>
          <w:p w:rsidR="00A55C00" w:rsidRPr="00F62685" w:rsidRDefault="00A55C00"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Горното допускане е във връзка с предвиденото увеличение на MP3 за 2024 г. и прогнозно такова за 2025 и 2026 г., с цел запазване на диференциацията в размера на основните месечни заплати на служителите в МВР и недопускане изравняване на възнагражденията за длъжности с различни изисквания за образование, професионална квалификация, ниво на компетентност и отговорност, проявяване в служебната дейност и резултатите от нея.</w:t>
            </w:r>
          </w:p>
          <w:p w:rsidR="00A55C00" w:rsidRPr="00F62685" w:rsidRDefault="00A55C00"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В допълнение, с одобрените допълнителни разходи за МВР със ЗДБРБ за 2023 г. за увеличение на основните и допълнителни възнаграждения и плащания на персонала в МВР исканията на синдикалните организации са осигурени частично.</w:t>
            </w:r>
          </w:p>
          <w:p w:rsidR="00A55C00" w:rsidRPr="00F62685" w:rsidRDefault="00A55C00"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Към настоящия момент, по техни искания не е осигурено предложеното да се увеличат парите за облекло на лицата, работещи по трудово правоотношение и на държавните служители по Закона за държавния служител от 400 лв. на 800 лв.</w:t>
            </w:r>
          </w:p>
          <w:p w:rsidR="00A55C00" w:rsidRPr="00F62685" w:rsidRDefault="00A55C00"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Също така, остава неосигурено искане за увеличение на допълнителното възнаграждение за нощен труд от 0,15 на сто на 0,16 на сто от MP3 за страната. Като за финансовото осигуряване на посоченото искане ще бъдат необходими допълнителни средств</w:t>
            </w:r>
            <w:r w:rsidR="00DA1A53">
              <w:rPr>
                <w:rFonts w:ascii="Times New Roman" w:eastAsia="Times New Roman" w:hAnsi="Times New Roman" w:cs="Times New Roman"/>
                <w:sz w:val="20"/>
                <w:szCs w:val="20"/>
              </w:rPr>
              <w:t>а в размер на 2 124,0 хил. лв.</w:t>
            </w:r>
          </w:p>
        </w:tc>
        <w:tc>
          <w:tcPr>
            <w:tcW w:w="574" w:type="pct"/>
            <w:shd w:val="clear" w:color="auto" w:fill="auto"/>
          </w:tcPr>
          <w:p w:rsidR="00A55C00" w:rsidRPr="00657A5B" w:rsidRDefault="00A55C00" w:rsidP="00DA1A53">
            <w:pPr>
              <w:spacing w:after="0" w:line="240" w:lineRule="auto"/>
              <w:jc w:val="center"/>
              <w:rPr>
                <w:rFonts w:ascii="Times New Roman" w:eastAsia="Times New Roman" w:hAnsi="Times New Roman" w:cs="Times New Roman"/>
                <w:b/>
                <w:sz w:val="20"/>
                <w:szCs w:val="20"/>
              </w:rPr>
            </w:pPr>
          </w:p>
          <w:p w:rsidR="00A55C00" w:rsidRPr="00657A5B" w:rsidRDefault="00A55C00" w:rsidP="00DA1A53">
            <w:pPr>
              <w:spacing w:after="0" w:line="240" w:lineRule="auto"/>
              <w:jc w:val="center"/>
              <w:rPr>
                <w:rFonts w:ascii="Times New Roman" w:eastAsia="Times New Roman" w:hAnsi="Times New Roman" w:cs="Times New Roman"/>
                <w:b/>
                <w:sz w:val="20"/>
                <w:szCs w:val="20"/>
              </w:rPr>
            </w:pPr>
          </w:p>
          <w:p w:rsidR="00A55C00" w:rsidRPr="00657A5B" w:rsidRDefault="00A55C00" w:rsidP="00DA1A53">
            <w:pPr>
              <w:spacing w:after="0" w:line="240" w:lineRule="auto"/>
              <w:jc w:val="center"/>
              <w:rPr>
                <w:rFonts w:ascii="Times New Roman" w:eastAsia="Times New Roman" w:hAnsi="Times New Roman" w:cs="Times New Roman"/>
                <w:b/>
                <w:sz w:val="20"/>
                <w:szCs w:val="20"/>
              </w:rPr>
            </w:pPr>
          </w:p>
          <w:p w:rsidR="00A55C00" w:rsidRPr="00657A5B" w:rsidRDefault="00A55C00" w:rsidP="00DA1A53">
            <w:pPr>
              <w:spacing w:after="0" w:line="240" w:lineRule="auto"/>
              <w:jc w:val="center"/>
              <w:rPr>
                <w:rFonts w:ascii="Times New Roman" w:eastAsia="Times New Roman" w:hAnsi="Times New Roman" w:cs="Times New Roman"/>
                <w:b/>
                <w:sz w:val="20"/>
                <w:szCs w:val="20"/>
              </w:rPr>
            </w:pPr>
          </w:p>
          <w:p w:rsidR="00A55C00" w:rsidRPr="00657A5B" w:rsidRDefault="00A55C00" w:rsidP="00DA1A53">
            <w:pPr>
              <w:spacing w:after="0" w:line="240" w:lineRule="auto"/>
              <w:jc w:val="center"/>
              <w:rPr>
                <w:rFonts w:ascii="Times New Roman" w:eastAsia="Times New Roman" w:hAnsi="Times New Roman" w:cs="Times New Roman"/>
                <w:b/>
                <w:sz w:val="20"/>
                <w:szCs w:val="20"/>
              </w:rPr>
            </w:pPr>
          </w:p>
          <w:p w:rsidR="00A55C00" w:rsidRPr="00657A5B" w:rsidRDefault="00A55C00" w:rsidP="00DA1A53">
            <w:pPr>
              <w:spacing w:after="0" w:line="240" w:lineRule="auto"/>
              <w:jc w:val="center"/>
              <w:rPr>
                <w:rFonts w:ascii="Times New Roman" w:eastAsia="Times New Roman" w:hAnsi="Times New Roman" w:cs="Times New Roman"/>
                <w:b/>
                <w:sz w:val="20"/>
                <w:szCs w:val="20"/>
              </w:rPr>
            </w:pPr>
          </w:p>
          <w:p w:rsidR="00A55C00" w:rsidRPr="00657A5B" w:rsidRDefault="00A55C00" w:rsidP="00DA1A53">
            <w:pPr>
              <w:spacing w:after="0" w:line="240" w:lineRule="auto"/>
              <w:jc w:val="center"/>
              <w:rPr>
                <w:rFonts w:ascii="Times New Roman" w:eastAsia="Times New Roman" w:hAnsi="Times New Roman" w:cs="Times New Roman"/>
                <w:b/>
                <w:sz w:val="20"/>
                <w:szCs w:val="20"/>
              </w:rPr>
            </w:pPr>
          </w:p>
          <w:p w:rsidR="00A55C00" w:rsidRPr="00657A5B" w:rsidRDefault="00A55C00" w:rsidP="00DA1A53">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Не се приема</w:t>
            </w:r>
          </w:p>
        </w:tc>
        <w:tc>
          <w:tcPr>
            <w:tcW w:w="1617" w:type="pct"/>
            <w:shd w:val="clear" w:color="auto" w:fill="auto"/>
          </w:tcPr>
          <w:p w:rsidR="00A55C00" w:rsidRPr="00DA1A53" w:rsidRDefault="00A55C00" w:rsidP="00DA1A53">
            <w:pPr>
              <w:spacing w:after="0" w:line="240" w:lineRule="auto"/>
              <w:jc w:val="both"/>
              <w:rPr>
                <w:rFonts w:ascii="Times New Roman" w:eastAsia="Calibri" w:hAnsi="Times New Roman" w:cs="Times New Roman"/>
                <w:color w:val="000000"/>
                <w:sz w:val="20"/>
                <w:szCs w:val="20"/>
              </w:rPr>
            </w:pPr>
          </w:p>
          <w:p w:rsidR="00A55C00" w:rsidRPr="00DA1A53" w:rsidRDefault="00A55C00" w:rsidP="00DA1A53">
            <w:pPr>
              <w:spacing w:after="0" w:line="240" w:lineRule="auto"/>
              <w:jc w:val="both"/>
              <w:rPr>
                <w:rFonts w:ascii="Times New Roman" w:eastAsia="Calibri" w:hAnsi="Times New Roman" w:cs="Times New Roman"/>
                <w:color w:val="000000"/>
                <w:sz w:val="20"/>
                <w:szCs w:val="20"/>
              </w:rPr>
            </w:pPr>
          </w:p>
          <w:p w:rsidR="00A55C00" w:rsidRPr="00DA1A53" w:rsidRDefault="00A55C00" w:rsidP="00DA1A53">
            <w:pPr>
              <w:spacing w:after="0" w:line="240" w:lineRule="auto"/>
              <w:jc w:val="both"/>
              <w:rPr>
                <w:rFonts w:ascii="Times New Roman" w:eastAsia="Calibri" w:hAnsi="Times New Roman" w:cs="Times New Roman"/>
                <w:color w:val="000000"/>
                <w:sz w:val="20"/>
                <w:szCs w:val="20"/>
              </w:rPr>
            </w:pPr>
          </w:p>
          <w:p w:rsidR="00A55C00" w:rsidRPr="00DA1A53" w:rsidRDefault="00A55C00" w:rsidP="00DA1A53">
            <w:pPr>
              <w:spacing w:after="0" w:line="240" w:lineRule="auto"/>
              <w:jc w:val="both"/>
              <w:rPr>
                <w:rFonts w:ascii="Times New Roman" w:eastAsia="Calibri" w:hAnsi="Times New Roman" w:cs="Times New Roman"/>
                <w:color w:val="000000"/>
                <w:sz w:val="20"/>
                <w:szCs w:val="20"/>
              </w:rPr>
            </w:pPr>
          </w:p>
          <w:p w:rsidR="00A55C00" w:rsidRPr="00DA1A53" w:rsidRDefault="00A55C00" w:rsidP="00DA1A53">
            <w:pPr>
              <w:spacing w:after="0" w:line="240" w:lineRule="auto"/>
              <w:jc w:val="both"/>
              <w:rPr>
                <w:rFonts w:ascii="Times New Roman" w:eastAsia="Calibri" w:hAnsi="Times New Roman" w:cs="Times New Roman"/>
                <w:color w:val="000000"/>
                <w:sz w:val="20"/>
                <w:szCs w:val="20"/>
              </w:rPr>
            </w:pPr>
          </w:p>
          <w:p w:rsidR="00A55C00" w:rsidRPr="00DA1A53" w:rsidRDefault="00A55C00" w:rsidP="00DA1A53">
            <w:pPr>
              <w:spacing w:after="0" w:line="240" w:lineRule="auto"/>
              <w:jc w:val="both"/>
              <w:rPr>
                <w:rFonts w:ascii="Times New Roman" w:eastAsia="Calibri" w:hAnsi="Times New Roman" w:cs="Times New Roman"/>
                <w:color w:val="000000"/>
                <w:sz w:val="20"/>
                <w:szCs w:val="20"/>
              </w:rPr>
            </w:pPr>
          </w:p>
          <w:p w:rsidR="00A55C00" w:rsidRPr="00DA1A53" w:rsidRDefault="00A55C00" w:rsidP="00DA1A53">
            <w:pPr>
              <w:spacing w:after="0" w:line="240" w:lineRule="auto"/>
              <w:jc w:val="both"/>
              <w:rPr>
                <w:rFonts w:ascii="Times New Roman" w:eastAsia="Calibri" w:hAnsi="Times New Roman" w:cs="Times New Roman"/>
                <w:color w:val="000000"/>
                <w:sz w:val="20"/>
                <w:szCs w:val="20"/>
              </w:rPr>
            </w:pPr>
          </w:p>
          <w:p w:rsidR="00A55C00" w:rsidRPr="00DA1A53" w:rsidRDefault="00A55C00" w:rsidP="00DA1A53">
            <w:pPr>
              <w:spacing w:after="0" w:line="240" w:lineRule="auto"/>
              <w:jc w:val="both"/>
              <w:rPr>
                <w:rFonts w:ascii="Times New Roman" w:eastAsia="Calibri" w:hAnsi="Times New Roman" w:cs="Times New Roman"/>
                <w:color w:val="000000"/>
                <w:sz w:val="20"/>
                <w:szCs w:val="20"/>
              </w:rPr>
            </w:pPr>
            <w:r w:rsidRPr="00DA1A53">
              <w:rPr>
                <w:rFonts w:ascii="Times New Roman" w:eastAsia="Calibri" w:hAnsi="Times New Roman" w:cs="Times New Roman"/>
                <w:color w:val="000000"/>
                <w:sz w:val="20"/>
                <w:szCs w:val="20"/>
              </w:rPr>
              <w:t>Предложеният размер на разходите по бюджета на Министерството на вътрешните работи е съобразен с възможностите на държавния бюджет за 2024 г., базиран на есенната макроикономическа прогноза на Министерството на финансите, на действащото законодателство, прилагане на възприетите политики и допускания от правителството за периода 2024-2026 г., отчетни данни и оценка на възможностите за реализиране на инвестиционните разходи в рамките на бюджетната година, предприетите оптимизиращи приходни и разходни мерки със съответните ефекти и предложения за законодателни промени.</w:t>
            </w:r>
          </w:p>
          <w:p w:rsidR="00A55C00" w:rsidRPr="00DA1A53" w:rsidRDefault="00A55C00" w:rsidP="00DA1A53">
            <w:pPr>
              <w:spacing w:after="0" w:line="240" w:lineRule="auto"/>
              <w:jc w:val="both"/>
              <w:rPr>
                <w:rFonts w:ascii="Times New Roman" w:eastAsia="Calibri" w:hAnsi="Times New Roman" w:cs="Times New Roman"/>
                <w:color w:val="000000"/>
                <w:sz w:val="20"/>
                <w:szCs w:val="20"/>
              </w:rPr>
            </w:pPr>
            <w:r w:rsidRPr="00DA1A53">
              <w:rPr>
                <w:rFonts w:ascii="Times New Roman" w:eastAsia="Calibri" w:hAnsi="Times New Roman" w:cs="Times New Roman"/>
                <w:color w:val="000000"/>
                <w:sz w:val="20"/>
                <w:szCs w:val="20"/>
              </w:rPr>
              <w:t>В тази връзка и предвид ограниченото фискално пространство, на този етап предложения за увеличения в разходната част не биха могли да бъдат удовлетворени.</w:t>
            </w:r>
          </w:p>
          <w:p w:rsidR="00A55C00" w:rsidRPr="00DA1A53" w:rsidRDefault="00A55C00" w:rsidP="00185DFD">
            <w:pPr>
              <w:spacing w:after="0" w:line="240" w:lineRule="auto"/>
              <w:jc w:val="both"/>
              <w:rPr>
                <w:rFonts w:ascii="Times New Roman" w:eastAsia="Calibri" w:hAnsi="Times New Roman" w:cs="Times New Roman"/>
                <w:color w:val="000000"/>
                <w:sz w:val="20"/>
                <w:szCs w:val="20"/>
              </w:rPr>
            </w:pPr>
            <w:r w:rsidRPr="00DA1A53">
              <w:rPr>
                <w:rFonts w:ascii="Times New Roman" w:eastAsia="Calibri" w:hAnsi="Times New Roman" w:cs="Times New Roman"/>
                <w:color w:val="000000"/>
                <w:sz w:val="20"/>
                <w:szCs w:val="20"/>
              </w:rPr>
              <w:t xml:space="preserve">С проектът на ЗДБРБ за 2024 г. са предвидени средства за преодоляване на диспропорции във възнагражденията на персонала в бюджетните </w:t>
            </w:r>
            <w:r w:rsidRPr="00DA1A53">
              <w:rPr>
                <w:rFonts w:ascii="Times New Roman" w:eastAsia="Calibri" w:hAnsi="Times New Roman" w:cs="Times New Roman"/>
                <w:color w:val="000000"/>
                <w:sz w:val="20"/>
                <w:szCs w:val="20"/>
              </w:rPr>
              <w:lastRenderedPageBreak/>
              <w:t xml:space="preserve">организации с оглед изглаждане на наблюдавани значителни дисбаланси/неравенства в нивото на заплащане в различни административни звена и структури в секторите, предоставящи публични услуги. Предвидено е средствата да бъдат разпределяни </w:t>
            </w:r>
            <w:r w:rsidR="00185DFD">
              <w:rPr>
                <w:rFonts w:ascii="Times New Roman" w:eastAsia="Calibri" w:hAnsi="Times New Roman" w:cs="Times New Roman"/>
                <w:color w:val="000000"/>
                <w:sz w:val="20"/>
                <w:szCs w:val="20"/>
              </w:rPr>
              <w:t>с</w:t>
            </w:r>
            <w:r w:rsidRPr="00DA1A53">
              <w:rPr>
                <w:rFonts w:ascii="Times New Roman" w:eastAsia="Calibri" w:hAnsi="Times New Roman" w:cs="Times New Roman"/>
                <w:color w:val="000000"/>
                <w:sz w:val="20"/>
                <w:szCs w:val="20"/>
              </w:rPr>
              <w:t xml:space="preserve"> акт на Министерския съвет.</w:t>
            </w:r>
          </w:p>
        </w:tc>
      </w:tr>
      <w:tr w:rsidR="00DA1A53" w:rsidRPr="00F62685" w:rsidTr="00DE00BF">
        <w:trPr>
          <w:trHeight w:val="161"/>
        </w:trPr>
        <w:tc>
          <w:tcPr>
            <w:tcW w:w="941" w:type="pct"/>
            <w:shd w:val="clear" w:color="auto" w:fill="auto"/>
          </w:tcPr>
          <w:p w:rsidR="00DA1A53" w:rsidRPr="00F62685" w:rsidRDefault="00DA1A53" w:rsidP="00A55C00">
            <w:pPr>
              <w:spacing w:before="120" w:after="120" w:line="240" w:lineRule="auto"/>
              <w:rPr>
                <w:rFonts w:ascii="Times New Roman" w:eastAsia="Times New Roman" w:hAnsi="Times New Roman" w:cs="Times New Roman"/>
                <w:b/>
                <w:sz w:val="20"/>
                <w:szCs w:val="20"/>
              </w:rPr>
            </w:pPr>
          </w:p>
        </w:tc>
        <w:tc>
          <w:tcPr>
            <w:tcW w:w="1868" w:type="pct"/>
            <w:shd w:val="clear" w:color="auto" w:fill="auto"/>
          </w:tcPr>
          <w:p w:rsidR="00DA1A53" w:rsidRPr="00F62685" w:rsidRDefault="00DA1A53"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С предвидените разходи по проекта на бюджет на МВР за 2024 г. по показател „Издръжка" са разчетени 230 880,8 хил. лв., в т. ч. текуща издръжка - 224 444,8 хил. лв. и за данъци, такси и административни санкции - 6 436 хил. лв.; Разчетените разходи за текуща издръжка са с 65 228,2 хил. лв. по-малко от заявените минимални оптимални потребности от структурите на МВР за 2024 г. - 286 467,0 хил. лв., за което Ви прилагаме справка.</w:t>
            </w:r>
          </w:p>
          <w:p w:rsidR="00DA1A53" w:rsidRPr="00DA1A53" w:rsidRDefault="00DA1A53"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Следва да се вземе предвид, че цените на стоките и услугите, в т.ч. и комунално- битовите услуги, се повишават периодично, в </w:t>
            </w:r>
            <w:r w:rsidRPr="00F62685">
              <w:rPr>
                <w:rFonts w:ascii="Times New Roman" w:eastAsia="Times New Roman" w:hAnsi="Times New Roman" w:cs="Times New Roman"/>
                <w:sz w:val="20"/>
                <w:szCs w:val="20"/>
              </w:rPr>
              <w:lastRenderedPageBreak/>
              <w:t xml:space="preserve">ситуацията на предизвикателни икономически условия и цялостната непредсказуемост на международната среда и инфлационните процеси. В резултат, се наблюдава тенденция към закъснение при погасяването на задължения за консумирана електрическа енергия при </w:t>
            </w:r>
            <w:proofErr w:type="spellStart"/>
            <w:r w:rsidRPr="00F62685">
              <w:rPr>
                <w:rFonts w:ascii="Times New Roman" w:eastAsia="Times New Roman" w:hAnsi="Times New Roman" w:cs="Times New Roman"/>
                <w:sz w:val="20"/>
                <w:szCs w:val="20"/>
              </w:rPr>
              <w:t>неплащане</w:t>
            </w:r>
            <w:proofErr w:type="spellEnd"/>
            <w:r w:rsidRPr="00F62685">
              <w:rPr>
                <w:rFonts w:ascii="Times New Roman" w:eastAsia="Times New Roman" w:hAnsi="Times New Roman" w:cs="Times New Roman"/>
                <w:sz w:val="20"/>
                <w:szCs w:val="20"/>
              </w:rPr>
              <w:t xml:space="preserve"> на възникнали задължения. На основание изложеното, считаме че е наложително актуализиране на разходите за издръжка, като се вземат предвид повишаващите се цени на стоките и услугите, в т. </w:t>
            </w:r>
            <w:r>
              <w:rPr>
                <w:rFonts w:ascii="Times New Roman" w:eastAsia="Times New Roman" w:hAnsi="Times New Roman" w:cs="Times New Roman"/>
                <w:sz w:val="20"/>
                <w:szCs w:val="20"/>
              </w:rPr>
              <w:t>ч. и комунално-битовите услуги.</w:t>
            </w:r>
          </w:p>
        </w:tc>
        <w:tc>
          <w:tcPr>
            <w:tcW w:w="574" w:type="pct"/>
            <w:shd w:val="clear" w:color="auto" w:fill="auto"/>
          </w:tcPr>
          <w:p w:rsidR="00DA1A53" w:rsidRPr="00657A5B" w:rsidRDefault="00DA1A53" w:rsidP="00DA1A53">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Не се приема</w:t>
            </w:r>
          </w:p>
        </w:tc>
        <w:tc>
          <w:tcPr>
            <w:tcW w:w="1617" w:type="pct"/>
            <w:shd w:val="clear" w:color="auto" w:fill="auto"/>
          </w:tcPr>
          <w:p w:rsidR="00DA1A53" w:rsidRPr="00DA1A53" w:rsidRDefault="00DA1A53" w:rsidP="00DA1A53">
            <w:pPr>
              <w:spacing w:after="0" w:line="240" w:lineRule="auto"/>
              <w:jc w:val="both"/>
              <w:rPr>
                <w:rFonts w:ascii="Times New Roman" w:eastAsia="Calibri" w:hAnsi="Times New Roman" w:cs="Times New Roman"/>
                <w:color w:val="000000"/>
                <w:sz w:val="20"/>
                <w:szCs w:val="20"/>
              </w:rPr>
            </w:pPr>
            <w:r w:rsidRPr="00DA1A53">
              <w:rPr>
                <w:rFonts w:ascii="Times New Roman" w:eastAsia="Calibri" w:hAnsi="Times New Roman" w:cs="Times New Roman"/>
                <w:color w:val="000000"/>
                <w:sz w:val="20"/>
                <w:szCs w:val="20"/>
              </w:rPr>
              <w:t xml:space="preserve">Предложеният размер на разходите по бюджета на Министерството на вътрешните работи е съобразен с възможностите на държавния бюджет за 2024 г., базиран на есенната макроикономическа прогноза на Министерството на финансите, на действащото законодателство, прилагане на възприетите политики и допускания от правителството за периода 2024-2026 г., отчетни данни и оценка на възможностите за реализиране на инвестиционните разходи в рамките на </w:t>
            </w:r>
            <w:r w:rsidRPr="00DA1A53">
              <w:rPr>
                <w:rFonts w:ascii="Times New Roman" w:eastAsia="Calibri" w:hAnsi="Times New Roman" w:cs="Times New Roman"/>
                <w:color w:val="000000"/>
                <w:sz w:val="20"/>
                <w:szCs w:val="20"/>
              </w:rPr>
              <w:lastRenderedPageBreak/>
              <w:t>бюджетната година, предприетите оптимизиращи приходни и разходни мерки със съответните ефекти и предложения за законодателни промени.</w:t>
            </w:r>
          </w:p>
          <w:p w:rsidR="00DA1A53" w:rsidRPr="00DA1A53" w:rsidRDefault="00DA1A53" w:rsidP="00DA1A53">
            <w:pPr>
              <w:spacing w:after="0" w:line="240" w:lineRule="auto"/>
              <w:jc w:val="both"/>
              <w:rPr>
                <w:rFonts w:ascii="Times New Roman" w:eastAsia="Calibri" w:hAnsi="Times New Roman" w:cs="Times New Roman"/>
                <w:color w:val="000000"/>
                <w:sz w:val="20"/>
                <w:szCs w:val="20"/>
              </w:rPr>
            </w:pPr>
            <w:r w:rsidRPr="00DA1A53">
              <w:rPr>
                <w:rFonts w:ascii="Times New Roman" w:eastAsia="Calibri" w:hAnsi="Times New Roman" w:cs="Times New Roman"/>
                <w:color w:val="000000"/>
                <w:sz w:val="20"/>
                <w:szCs w:val="20"/>
              </w:rPr>
              <w:t>В тази връзка и предвид ограниченото фискално пространство, на този етап предложения за увеличения в разходната част не биха могли да бъдат удовлетворени.</w:t>
            </w:r>
          </w:p>
        </w:tc>
      </w:tr>
      <w:tr w:rsidR="00DA1A53" w:rsidRPr="00F62685" w:rsidTr="00DE00BF">
        <w:trPr>
          <w:trHeight w:val="161"/>
        </w:trPr>
        <w:tc>
          <w:tcPr>
            <w:tcW w:w="941" w:type="pct"/>
            <w:shd w:val="clear" w:color="auto" w:fill="auto"/>
          </w:tcPr>
          <w:p w:rsidR="00DA1A53" w:rsidRPr="00F62685" w:rsidRDefault="00DA1A53" w:rsidP="00A55C00">
            <w:pPr>
              <w:spacing w:before="120" w:after="120" w:line="240" w:lineRule="auto"/>
              <w:rPr>
                <w:rFonts w:ascii="Times New Roman" w:eastAsia="Times New Roman" w:hAnsi="Times New Roman" w:cs="Times New Roman"/>
                <w:b/>
                <w:sz w:val="20"/>
                <w:szCs w:val="20"/>
              </w:rPr>
            </w:pPr>
          </w:p>
        </w:tc>
        <w:tc>
          <w:tcPr>
            <w:tcW w:w="1868" w:type="pct"/>
            <w:shd w:val="clear" w:color="auto" w:fill="auto"/>
          </w:tcPr>
          <w:p w:rsidR="00DA1A53" w:rsidRPr="00DA1A53" w:rsidRDefault="00DA1A53"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В продължение на горното, остават неосигурени средства, общо в размер на 760 хил. лв., за увеличение на стипендиите на курсантите в Академията на МВР, по постъпили предложения от синдикалните организации в МВР и от Академията на МВР, при допускането за запазване нивото на утвърдените със ЗДБРБ за 2023 г. на МВР стипендии, в размер</w:t>
            </w:r>
            <w:r>
              <w:rPr>
                <w:rFonts w:ascii="Times New Roman" w:eastAsia="Times New Roman" w:hAnsi="Times New Roman" w:cs="Times New Roman"/>
                <w:sz w:val="20"/>
                <w:szCs w:val="20"/>
              </w:rPr>
              <w:t xml:space="preserve"> на 2 550 хил. лв. през 2024 г.</w:t>
            </w:r>
          </w:p>
        </w:tc>
        <w:tc>
          <w:tcPr>
            <w:tcW w:w="574" w:type="pct"/>
            <w:shd w:val="clear" w:color="auto" w:fill="auto"/>
          </w:tcPr>
          <w:p w:rsidR="00DA1A53" w:rsidRPr="00657A5B" w:rsidRDefault="00DA1A53" w:rsidP="00DA1A53">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Не се приема</w:t>
            </w:r>
          </w:p>
        </w:tc>
        <w:tc>
          <w:tcPr>
            <w:tcW w:w="1617" w:type="pct"/>
            <w:shd w:val="clear" w:color="auto" w:fill="auto"/>
          </w:tcPr>
          <w:p w:rsidR="00DA1A53" w:rsidRPr="00DA1A53" w:rsidRDefault="00DA1A53" w:rsidP="00DA1A53">
            <w:pPr>
              <w:spacing w:after="0" w:line="240" w:lineRule="auto"/>
              <w:jc w:val="both"/>
              <w:rPr>
                <w:rFonts w:ascii="Times New Roman" w:eastAsia="Calibri" w:hAnsi="Times New Roman" w:cs="Times New Roman"/>
                <w:color w:val="000000"/>
                <w:sz w:val="20"/>
                <w:szCs w:val="20"/>
              </w:rPr>
            </w:pPr>
            <w:r w:rsidRPr="00DA1A53">
              <w:rPr>
                <w:rFonts w:ascii="Times New Roman" w:eastAsia="Calibri" w:hAnsi="Times New Roman" w:cs="Times New Roman"/>
                <w:color w:val="000000"/>
                <w:sz w:val="20"/>
                <w:szCs w:val="20"/>
              </w:rPr>
              <w:t>С гореизложените мотиви.</w:t>
            </w:r>
          </w:p>
        </w:tc>
      </w:tr>
      <w:tr w:rsidR="00DA1A53" w:rsidRPr="00F62685" w:rsidTr="00DE00BF">
        <w:trPr>
          <w:trHeight w:val="161"/>
        </w:trPr>
        <w:tc>
          <w:tcPr>
            <w:tcW w:w="941" w:type="pct"/>
            <w:shd w:val="clear" w:color="auto" w:fill="auto"/>
          </w:tcPr>
          <w:p w:rsidR="00DA1A53" w:rsidRPr="00F62685" w:rsidRDefault="00DA1A53" w:rsidP="00A55C00">
            <w:pPr>
              <w:spacing w:before="120" w:after="120" w:line="240" w:lineRule="auto"/>
              <w:rPr>
                <w:rFonts w:ascii="Times New Roman" w:eastAsia="Times New Roman" w:hAnsi="Times New Roman" w:cs="Times New Roman"/>
                <w:b/>
                <w:sz w:val="20"/>
                <w:szCs w:val="20"/>
              </w:rPr>
            </w:pPr>
          </w:p>
        </w:tc>
        <w:tc>
          <w:tcPr>
            <w:tcW w:w="1868" w:type="pct"/>
            <w:shd w:val="clear" w:color="auto" w:fill="auto"/>
          </w:tcPr>
          <w:p w:rsidR="00DA1A53" w:rsidRPr="00F62685" w:rsidRDefault="00DA1A53"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Също така, заявените от структурите на МВР средства за данъци, такси и административни санкции са общо в размер на 7 099,0 хил. лв. или в рамките на определения разходен таван на МВР за 2024 г. (6 436,0 хил. лв.) остават неосигурени средства общо в размер на 663,0 хил. лв.</w:t>
            </w:r>
          </w:p>
          <w:p w:rsidR="00DA1A53" w:rsidRPr="00DA1A53" w:rsidRDefault="00DA1A53"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По показател „Капиталови разходи“ с проекта на бюджет на МВР за 2024 г. са разчетени 19 </w:t>
            </w:r>
            <w:r>
              <w:rPr>
                <w:rFonts w:ascii="Times New Roman" w:eastAsia="Times New Roman" w:hAnsi="Times New Roman" w:cs="Times New Roman"/>
                <w:sz w:val="20"/>
                <w:szCs w:val="20"/>
              </w:rPr>
              <w:t>585 хил. лв.</w:t>
            </w:r>
          </w:p>
        </w:tc>
        <w:tc>
          <w:tcPr>
            <w:tcW w:w="574" w:type="pct"/>
            <w:shd w:val="clear" w:color="auto" w:fill="auto"/>
          </w:tcPr>
          <w:p w:rsidR="00DA1A53" w:rsidRPr="00657A5B" w:rsidRDefault="00DA1A53" w:rsidP="00DA1A53">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Не се приема</w:t>
            </w:r>
          </w:p>
          <w:p w:rsidR="00DA1A53" w:rsidRPr="00657A5B" w:rsidRDefault="00DA1A53" w:rsidP="00DA1A53">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A1A53" w:rsidRPr="00DA1A53" w:rsidRDefault="00DA1A53" w:rsidP="00DA1A53">
            <w:pPr>
              <w:spacing w:after="0" w:line="240" w:lineRule="auto"/>
              <w:jc w:val="both"/>
              <w:rPr>
                <w:rFonts w:ascii="Times New Roman" w:eastAsia="Calibri" w:hAnsi="Times New Roman" w:cs="Times New Roman"/>
                <w:color w:val="000000"/>
                <w:sz w:val="20"/>
                <w:szCs w:val="20"/>
              </w:rPr>
            </w:pPr>
            <w:r w:rsidRPr="00DA1A53">
              <w:rPr>
                <w:rFonts w:ascii="Times New Roman" w:eastAsia="Calibri" w:hAnsi="Times New Roman" w:cs="Times New Roman"/>
                <w:color w:val="000000"/>
                <w:sz w:val="20"/>
                <w:szCs w:val="20"/>
              </w:rPr>
              <w:t>С гореизложените мотиви.</w:t>
            </w:r>
          </w:p>
          <w:p w:rsidR="00DA1A53" w:rsidRPr="00DA1A53" w:rsidRDefault="00DA1A53" w:rsidP="00DA1A53">
            <w:pPr>
              <w:spacing w:after="0" w:line="240" w:lineRule="auto"/>
              <w:jc w:val="both"/>
              <w:rPr>
                <w:rFonts w:ascii="Times New Roman" w:eastAsia="Calibri" w:hAnsi="Times New Roman" w:cs="Times New Roman"/>
                <w:color w:val="000000"/>
                <w:sz w:val="20"/>
                <w:szCs w:val="20"/>
              </w:rPr>
            </w:pPr>
          </w:p>
        </w:tc>
      </w:tr>
      <w:tr w:rsidR="00DA1A53" w:rsidRPr="00F62685" w:rsidTr="00DE00BF">
        <w:trPr>
          <w:trHeight w:val="161"/>
        </w:trPr>
        <w:tc>
          <w:tcPr>
            <w:tcW w:w="941" w:type="pct"/>
            <w:shd w:val="clear" w:color="auto" w:fill="auto"/>
          </w:tcPr>
          <w:p w:rsidR="00DA1A53" w:rsidRPr="00F62685" w:rsidRDefault="00DA1A53" w:rsidP="00A55C00">
            <w:pPr>
              <w:spacing w:before="120" w:after="120" w:line="240" w:lineRule="auto"/>
              <w:rPr>
                <w:rFonts w:ascii="Times New Roman" w:eastAsia="Times New Roman" w:hAnsi="Times New Roman" w:cs="Times New Roman"/>
                <w:b/>
                <w:sz w:val="20"/>
                <w:szCs w:val="20"/>
              </w:rPr>
            </w:pPr>
          </w:p>
        </w:tc>
        <w:tc>
          <w:tcPr>
            <w:tcW w:w="1868" w:type="pct"/>
            <w:shd w:val="clear" w:color="auto" w:fill="auto"/>
          </w:tcPr>
          <w:p w:rsidR="00DA1A53" w:rsidRPr="00F62685" w:rsidRDefault="00DA1A53"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Предвидените капиталови разходи са на нивото на 2023 г.</w:t>
            </w:r>
          </w:p>
          <w:p w:rsidR="00DA1A53" w:rsidRPr="00F62685" w:rsidRDefault="00DA1A53"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В рамките на предвидените капиталови разходи с проекта на бюджет на МВР за 2024 г. не могат да се осигурят заявените прецизирани потребности от структурите на МВР в размер на 50 000,0 хил. лв. или остават неосигурени средства общо в размер на 30 415,0 хил. лв., от които 19 948,0 хил. лв. за основен ремонт, за което Ви прилагаме справка.</w:t>
            </w:r>
          </w:p>
          <w:p w:rsidR="00DA1A53" w:rsidRPr="00F62685" w:rsidRDefault="00DA1A53"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sz w:val="20"/>
                <w:szCs w:val="20"/>
              </w:rPr>
              <w:t>С така определения проект на бюджет на МВР за 2024 г. заявените потребности за издръжка и капиталови разходи не могат да бъдат осигурени.</w:t>
            </w:r>
          </w:p>
        </w:tc>
        <w:tc>
          <w:tcPr>
            <w:tcW w:w="574" w:type="pct"/>
            <w:shd w:val="clear" w:color="auto" w:fill="auto"/>
          </w:tcPr>
          <w:p w:rsidR="00DA1A53" w:rsidRPr="00657A5B" w:rsidRDefault="00DA1A53" w:rsidP="00DA1A53">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Не се приема</w:t>
            </w:r>
          </w:p>
        </w:tc>
        <w:tc>
          <w:tcPr>
            <w:tcW w:w="1617" w:type="pct"/>
            <w:shd w:val="clear" w:color="auto" w:fill="auto"/>
          </w:tcPr>
          <w:p w:rsidR="00DA1A53" w:rsidRPr="00DA1A53" w:rsidRDefault="00DA1A53" w:rsidP="00DA1A53">
            <w:pPr>
              <w:spacing w:after="0" w:line="240" w:lineRule="auto"/>
              <w:jc w:val="both"/>
              <w:rPr>
                <w:rFonts w:ascii="Times New Roman" w:eastAsia="Calibri" w:hAnsi="Times New Roman" w:cs="Times New Roman"/>
                <w:color w:val="000000"/>
                <w:sz w:val="20"/>
                <w:szCs w:val="20"/>
              </w:rPr>
            </w:pPr>
            <w:r w:rsidRPr="00DA1A53">
              <w:rPr>
                <w:rFonts w:ascii="Times New Roman" w:eastAsia="Calibri" w:hAnsi="Times New Roman" w:cs="Times New Roman"/>
                <w:color w:val="000000"/>
                <w:sz w:val="20"/>
                <w:szCs w:val="20"/>
              </w:rPr>
              <w:t>Предложеният размер на разходите по бюджета на Министерството на вътрешните работи е съобразен с възможностите на държавния бюджет за 2024 г., базиран на есенната макроикономическа прогноза на Министерството на финансите, на действащото законодателство, прилагане на възприетите политики и допускания от правителството за периода 2024-2026 г., отчетни данни и оценка на възможностите за реализиране на инвестиционните разходи в рамките на бюджетната година, предприетите оптимизиращи приходни и разходни мерки със съответните ефекти и предложения за законодателни промени.</w:t>
            </w:r>
          </w:p>
          <w:p w:rsidR="00DA1A53" w:rsidRPr="00DA1A53" w:rsidRDefault="00DA1A53" w:rsidP="00DA1A53">
            <w:pPr>
              <w:spacing w:after="0" w:line="240" w:lineRule="auto"/>
              <w:jc w:val="both"/>
              <w:rPr>
                <w:rFonts w:ascii="Times New Roman" w:eastAsia="Calibri" w:hAnsi="Times New Roman" w:cs="Times New Roman"/>
                <w:color w:val="000000"/>
                <w:sz w:val="20"/>
                <w:szCs w:val="20"/>
              </w:rPr>
            </w:pPr>
            <w:r w:rsidRPr="00DA1A53">
              <w:rPr>
                <w:rFonts w:ascii="Times New Roman" w:eastAsia="Calibri" w:hAnsi="Times New Roman" w:cs="Times New Roman"/>
                <w:color w:val="000000"/>
                <w:sz w:val="20"/>
                <w:szCs w:val="20"/>
              </w:rPr>
              <w:t>В тази връзка и предвид ограниченото фискално пространство, на този етап предложения за увеличения в разходната част не биха могли да бъдат удовлетворени.</w:t>
            </w:r>
          </w:p>
        </w:tc>
      </w:tr>
      <w:tr w:rsidR="00A55C00" w:rsidRPr="00F62685" w:rsidTr="00DE00BF">
        <w:trPr>
          <w:trHeight w:val="161"/>
        </w:trPr>
        <w:tc>
          <w:tcPr>
            <w:tcW w:w="941" w:type="pct"/>
            <w:shd w:val="clear" w:color="auto" w:fill="auto"/>
          </w:tcPr>
          <w:p w:rsidR="00A55C00" w:rsidRPr="00F62685" w:rsidRDefault="00A55C00" w:rsidP="00A55C00">
            <w:pPr>
              <w:spacing w:before="120" w:after="120" w:line="240" w:lineRule="auto"/>
              <w:rPr>
                <w:rFonts w:ascii="Times New Roman" w:eastAsia="Times New Roman" w:hAnsi="Times New Roman" w:cs="Times New Roman"/>
                <w:b/>
                <w:sz w:val="20"/>
                <w:szCs w:val="20"/>
              </w:rPr>
            </w:pPr>
          </w:p>
        </w:tc>
        <w:tc>
          <w:tcPr>
            <w:tcW w:w="1868" w:type="pct"/>
            <w:shd w:val="clear" w:color="auto" w:fill="auto"/>
          </w:tcPr>
          <w:p w:rsidR="00A55C00" w:rsidRPr="00F62685" w:rsidRDefault="00097BFC"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w:t>
            </w:r>
            <w:r w:rsidR="00A55C00" w:rsidRPr="00F62685">
              <w:rPr>
                <w:rFonts w:ascii="Times New Roman" w:eastAsia="Times New Roman" w:hAnsi="Times New Roman" w:cs="Times New Roman"/>
                <w:sz w:val="20"/>
                <w:szCs w:val="20"/>
              </w:rPr>
              <w:t xml:space="preserve"> Пред МФ с писмо, </w:t>
            </w:r>
            <w:proofErr w:type="spellStart"/>
            <w:r w:rsidR="00A55C00" w:rsidRPr="00F62685">
              <w:rPr>
                <w:rFonts w:ascii="Times New Roman" w:eastAsia="Times New Roman" w:hAnsi="Times New Roman" w:cs="Times New Roman"/>
                <w:sz w:val="20"/>
                <w:szCs w:val="20"/>
              </w:rPr>
              <w:t>per</w:t>
            </w:r>
            <w:proofErr w:type="spellEnd"/>
            <w:r w:rsidR="00A55C00" w:rsidRPr="00F62685">
              <w:rPr>
                <w:rFonts w:ascii="Times New Roman" w:eastAsia="Times New Roman" w:hAnsi="Times New Roman" w:cs="Times New Roman"/>
                <w:sz w:val="20"/>
                <w:szCs w:val="20"/>
              </w:rPr>
              <w:t>. № 812100-19621/07.11.2023 г., са заявени необходими на МВР финансови средства по централния бюджет за 2024 г., както следва:</w:t>
            </w:r>
          </w:p>
          <w:p w:rsidR="00A55C00" w:rsidRPr="00712E0B" w:rsidRDefault="00097BFC"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w:t>
            </w:r>
            <w:r w:rsidR="00A55C00" w:rsidRPr="00F62685">
              <w:rPr>
                <w:rFonts w:ascii="Times New Roman" w:eastAsia="Times New Roman" w:hAnsi="Times New Roman" w:cs="Times New Roman"/>
                <w:sz w:val="20"/>
                <w:szCs w:val="20"/>
              </w:rPr>
              <w:t xml:space="preserve"> Съгласно разпоредбата на чл. 185, ал. 1 от Закона за МВР, при изпълнение на служебните си задължения служителите в МВР пътуват безплатно в обществения градски транспорт. Разходите за компенсиране стойността на преференциални пътувания на служителите на МВР за общините са в размер на 14 000 000 лв. за всяка година.</w:t>
            </w:r>
          </w:p>
        </w:tc>
        <w:tc>
          <w:tcPr>
            <w:tcW w:w="574" w:type="pct"/>
            <w:shd w:val="clear" w:color="auto" w:fill="auto"/>
          </w:tcPr>
          <w:p w:rsidR="00474173" w:rsidRPr="00657A5B" w:rsidRDefault="00474173" w:rsidP="00474173">
            <w:pPr>
              <w:spacing w:after="0" w:line="240" w:lineRule="auto"/>
              <w:jc w:val="center"/>
              <w:rPr>
                <w:rFonts w:ascii="Times New Roman" w:eastAsia="Times New Roman" w:hAnsi="Times New Roman" w:cs="Times New Roman"/>
                <w:b/>
                <w:sz w:val="20"/>
                <w:szCs w:val="20"/>
              </w:rPr>
            </w:pPr>
          </w:p>
          <w:p w:rsidR="00474173" w:rsidRPr="00657A5B" w:rsidRDefault="00474173" w:rsidP="00474173">
            <w:pPr>
              <w:spacing w:after="0" w:line="240" w:lineRule="auto"/>
              <w:jc w:val="center"/>
              <w:rPr>
                <w:rFonts w:ascii="Times New Roman" w:eastAsia="Times New Roman" w:hAnsi="Times New Roman" w:cs="Times New Roman"/>
                <w:b/>
                <w:sz w:val="20"/>
                <w:szCs w:val="20"/>
              </w:rPr>
            </w:pPr>
          </w:p>
          <w:p w:rsidR="00474173" w:rsidRPr="00657A5B" w:rsidRDefault="00474173" w:rsidP="00474173">
            <w:pPr>
              <w:spacing w:after="0" w:line="240" w:lineRule="auto"/>
              <w:jc w:val="center"/>
              <w:rPr>
                <w:rFonts w:ascii="Times New Roman" w:eastAsia="Times New Roman" w:hAnsi="Times New Roman" w:cs="Times New Roman"/>
                <w:b/>
                <w:sz w:val="20"/>
                <w:szCs w:val="20"/>
              </w:rPr>
            </w:pPr>
          </w:p>
          <w:p w:rsidR="00474173" w:rsidRPr="00657A5B" w:rsidRDefault="00474173" w:rsidP="00474173">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1. Приема се по принцип</w:t>
            </w:r>
          </w:p>
          <w:p w:rsidR="00474173" w:rsidRPr="00657A5B" w:rsidRDefault="00474173" w:rsidP="00474173">
            <w:pPr>
              <w:spacing w:after="0" w:line="240" w:lineRule="auto"/>
              <w:jc w:val="center"/>
              <w:rPr>
                <w:rFonts w:ascii="Times New Roman" w:eastAsia="Times New Roman" w:hAnsi="Times New Roman" w:cs="Times New Roman"/>
                <w:b/>
                <w:sz w:val="20"/>
                <w:szCs w:val="20"/>
              </w:rPr>
            </w:pPr>
          </w:p>
          <w:p w:rsidR="00474173" w:rsidRPr="00657A5B" w:rsidRDefault="00474173" w:rsidP="00474173">
            <w:pPr>
              <w:spacing w:after="0" w:line="240" w:lineRule="auto"/>
              <w:jc w:val="center"/>
              <w:rPr>
                <w:rFonts w:ascii="Times New Roman" w:eastAsia="Times New Roman" w:hAnsi="Times New Roman" w:cs="Times New Roman"/>
                <w:b/>
                <w:sz w:val="20"/>
                <w:szCs w:val="20"/>
              </w:rPr>
            </w:pPr>
          </w:p>
          <w:p w:rsidR="00474173" w:rsidRPr="00657A5B" w:rsidRDefault="00474173" w:rsidP="00474173">
            <w:pPr>
              <w:spacing w:after="0" w:line="240" w:lineRule="auto"/>
              <w:jc w:val="center"/>
              <w:rPr>
                <w:rFonts w:ascii="Times New Roman" w:eastAsia="Times New Roman" w:hAnsi="Times New Roman" w:cs="Times New Roman"/>
                <w:b/>
                <w:sz w:val="20"/>
                <w:szCs w:val="20"/>
              </w:rPr>
            </w:pPr>
          </w:p>
          <w:p w:rsidR="00474173" w:rsidRPr="00657A5B" w:rsidRDefault="00474173" w:rsidP="00474173">
            <w:pPr>
              <w:spacing w:after="0" w:line="240" w:lineRule="auto"/>
              <w:jc w:val="center"/>
              <w:rPr>
                <w:rFonts w:ascii="Times New Roman" w:eastAsia="Times New Roman" w:hAnsi="Times New Roman" w:cs="Times New Roman"/>
                <w:b/>
                <w:sz w:val="20"/>
                <w:szCs w:val="20"/>
              </w:rPr>
            </w:pPr>
          </w:p>
          <w:p w:rsidR="00A55C00" w:rsidRPr="00657A5B" w:rsidRDefault="00A55C00" w:rsidP="00712E0B">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474173" w:rsidRPr="00474173" w:rsidRDefault="00474173" w:rsidP="00474173">
            <w:pPr>
              <w:spacing w:after="0" w:line="240" w:lineRule="auto"/>
              <w:jc w:val="both"/>
              <w:rPr>
                <w:rFonts w:ascii="Times New Roman" w:eastAsia="Times New Roman" w:hAnsi="Times New Roman" w:cs="Times New Roman"/>
                <w:bCs/>
                <w:sz w:val="20"/>
                <w:szCs w:val="20"/>
              </w:rPr>
            </w:pPr>
          </w:p>
          <w:p w:rsidR="00474173" w:rsidRPr="00474173" w:rsidRDefault="00474173" w:rsidP="00474173">
            <w:pPr>
              <w:spacing w:after="0" w:line="240" w:lineRule="auto"/>
              <w:jc w:val="both"/>
              <w:rPr>
                <w:rFonts w:ascii="Times New Roman" w:eastAsia="Times New Roman" w:hAnsi="Times New Roman" w:cs="Times New Roman"/>
                <w:bCs/>
                <w:sz w:val="20"/>
                <w:szCs w:val="20"/>
              </w:rPr>
            </w:pPr>
          </w:p>
          <w:p w:rsidR="00474173" w:rsidRPr="00474173" w:rsidRDefault="00474173" w:rsidP="00474173">
            <w:pPr>
              <w:spacing w:after="0" w:line="240" w:lineRule="auto"/>
              <w:jc w:val="both"/>
              <w:rPr>
                <w:rFonts w:ascii="Times New Roman" w:eastAsia="Times New Roman" w:hAnsi="Times New Roman" w:cs="Times New Roman"/>
                <w:bCs/>
                <w:sz w:val="20"/>
                <w:szCs w:val="20"/>
              </w:rPr>
            </w:pPr>
          </w:p>
          <w:p w:rsidR="00A55C00" w:rsidRPr="00474173" w:rsidRDefault="00474173" w:rsidP="00474173">
            <w:pPr>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1. </w:t>
            </w:r>
            <w:r w:rsidRPr="00474173">
              <w:rPr>
                <w:rFonts w:ascii="Times New Roman" w:eastAsia="Times New Roman" w:hAnsi="Times New Roman" w:cs="Times New Roman"/>
                <w:bCs/>
                <w:sz w:val="20"/>
                <w:szCs w:val="20"/>
              </w:rPr>
              <w:t xml:space="preserve">Заявеният от МВР размер от 14 000 000 лв. е планиран в общия размер на средствата от 17 106 000 лв. за                  </w:t>
            </w:r>
            <w:r w:rsidRPr="00474173">
              <w:rPr>
                <w:rFonts w:ascii="Times New Roman" w:eastAsia="Times New Roman" w:hAnsi="Times New Roman" w:cs="Times New Roman"/>
                <w:bCs/>
                <w:sz w:val="20"/>
                <w:szCs w:val="20"/>
              </w:rPr>
              <w:lastRenderedPageBreak/>
              <w:t>2024 г. за превоз на служители, ползващи право на безплатно пътуване при изпълнение на служебните си задължения в изпълнение разпоредбите на Закона за Министерството на вътрешните работи, Закона за изпълнение на наказанията и задържането под стража, Закона за съдебната власт,  Закона за защита на лица, застрашени във връзка с наказателно производство, Закона за Държавна агенция „Национална сигурност“, Закона за специалните разузнавателни средства, Закона за защита на класифицираната информация, и Закона за противодействие на корупцията и за отнемане на незаконно придобитото имущество.</w:t>
            </w:r>
          </w:p>
        </w:tc>
      </w:tr>
      <w:tr w:rsidR="00712E0B" w:rsidRPr="00F62685" w:rsidTr="00DE00BF">
        <w:trPr>
          <w:trHeight w:val="161"/>
        </w:trPr>
        <w:tc>
          <w:tcPr>
            <w:tcW w:w="941" w:type="pct"/>
            <w:shd w:val="clear" w:color="auto" w:fill="auto"/>
          </w:tcPr>
          <w:p w:rsidR="00712E0B" w:rsidRPr="00F62685" w:rsidRDefault="00712E0B" w:rsidP="00A55C00">
            <w:pPr>
              <w:spacing w:before="120" w:after="120" w:line="240" w:lineRule="auto"/>
              <w:rPr>
                <w:rFonts w:ascii="Times New Roman" w:eastAsia="Times New Roman" w:hAnsi="Times New Roman" w:cs="Times New Roman"/>
                <w:b/>
                <w:sz w:val="20"/>
                <w:szCs w:val="20"/>
              </w:rPr>
            </w:pPr>
          </w:p>
        </w:tc>
        <w:tc>
          <w:tcPr>
            <w:tcW w:w="1868" w:type="pct"/>
            <w:shd w:val="clear" w:color="auto" w:fill="auto"/>
          </w:tcPr>
          <w:p w:rsidR="00712E0B" w:rsidRPr="00F62685" w:rsidRDefault="00097BFC"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712E0B" w:rsidRPr="00F62685">
              <w:rPr>
                <w:rFonts w:ascii="Times New Roman" w:eastAsia="Times New Roman" w:hAnsi="Times New Roman" w:cs="Times New Roman"/>
                <w:sz w:val="20"/>
                <w:szCs w:val="20"/>
              </w:rPr>
              <w:t xml:space="preserve"> С писмо на министъра на финансите, изх. № 04-04-198/01.09.2017 г. (вх. № 812100-18185/04.09.2017 г.), е изпратена одобрена финансова обосновка към проект на Решение на Министерския съвет за одобряване на модел за централизирано персонализиране на български лични документи (БЛШ.</w:t>
            </w:r>
          </w:p>
          <w:p w:rsidR="00712E0B" w:rsidRPr="00F62685" w:rsidRDefault="00712E0B"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В тази връзка за периода 2023-2031 г., съобразно предвидените ангажименти, разчетените средства са в размер на 466 401 300 лв., в т.ч. 213 246 856 лв. текущи и 253 154 444 лв. капиталови разходи, от които за 2024 г. - 175 940 402 лв., в т.ч. 14 754 326 лв. текущи и 161 186 076 лв. капиталови разходи.</w:t>
            </w:r>
          </w:p>
          <w:p w:rsidR="00712E0B" w:rsidRPr="00F62685" w:rsidRDefault="00712E0B" w:rsidP="00097BFC">
            <w:pPr>
              <w:spacing w:after="60" w:line="240" w:lineRule="auto"/>
              <w:jc w:val="both"/>
              <w:rPr>
                <w:rFonts w:ascii="Times New Roman" w:eastAsia="Times New Roman" w:hAnsi="Times New Roman" w:cs="Times New Roman"/>
                <w:sz w:val="20"/>
                <w:szCs w:val="20"/>
              </w:rPr>
            </w:pPr>
          </w:p>
        </w:tc>
        <w:tc>
          <w:tcPr>
            <w:tcW w:w="574" w:type="pct"/>
            <w:shd w:val="clear" w:color="auto" w:fill="auto"/>
          </w:tcPr>
          <w:p w:rsidR="00712E0B" w:rsidRPr="00657A5B" w:rsidRDefault="00712E0B" w:rsidP="00712E0B">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2. Приема се по принцип</w:t>
            </w:r>
          </w:p>
          <w:p w:rsidR="00712E0B" w:rsidRPr="00657A5B" w:rsidRDefault="00712E0B" w:rsidP="00712E0B">
            <w:pPr>
              <w:spacing w:after="0" w:line="240" w:lineRule="auto"/>
              <w:jc w:val="center"/>
              <w:rPr>
                <w:rFonts w:ascii="Times New Roman" w:eastAsia="Times New Roman" w:hAnsi="Times New Roman" w:cs="Times New Roman"/>
                <w:b/>
                <w:sz w:val="20"/>
                <w:szCs w:val="20"/>
              </w:rPr>
            </w:pPr>
          </w:p>
          <w:p w:rsidR="00712E0B" w:rsidRPr="00657A5B" w:rsidRDefault="00712E0B" w:rsidP="00474173">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712E0B" w:rsidRPr="00474173" w:rsidRDefault="00712E0B" w:rsidP="00712E0B">
            <w:pPr>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2. </w:t>
            </w:r>
            <w:r w:rsidR="00A74642">
              <w:rPr>
                <w:rFonts w:ascii="Times New Roman" w:eastAsia="Times New Roman" w:hAnsi="Times New Roman" w:cs="Times New Roman"/>
                <w:bCs/>
                <w:sz w:val="20"/>
                <w:szCs w:val="20"/>
              </w:rPr>
              <w:t>С</w:t>
            </w:r>
            <w:r w:rsidRPr="00474173">
              <w:rPr>
                <w:rFonts w:ascii="Times New Roman" w:eastAsia="Times New Roman" w:hAnsi="Times New Roman" w:cs="Times New Roman"/>
                <w:bCs/>
                <w:sz w:val="20"/>
                <w:szCs w:val="20"/>
              </w:rPr>
              <w:t xml:space="preserve"> проекта на </w:t>
            </w:r>
            <w:r w:rsidR="00A74642">
              <w:rPr>
                <w:rFonts w:ascii="Times New Roman" w:eastAsia="Times New Roman" w:hAnsi="Times New Roman" w:cs="Times New Roman"/>
                <w:bCs/>
                <w:sz w:val="20"/>
                <w:szCs w:val="20"/>
              </w:rPr>
              <w:t>ЗДБРБ</w:t>
            </w:r>
            <w:r w:rsidRPr="00474173">
              <w:rPr>
                <w:rFonts w:ascii="Times New Roman" w:eastAsia="Times New Roman" w:hAnsi="Times New Roman" w:cs="Times New Roman"/>
                <w:bCs/>
                <w:sz w:val="20"/>
                <w:szCs w:val="20"/>
              </w:rPr>
              <w:t xml:space="preserve"> за 2024 г. са предвидени средства съобразно одобрената финансова обосновка към писмо на МФ № 04-04-198/01.09.20217 г.</w:t>
            </w:r>
          </w:p>
          <w:p w:rsidR="00712E0B" w:rsidRPr="00474173" w:rsidRDefault="00712E0B" w:rsidP="00474173">
            <w:pPr>
              <w:spacing w:after="0" w:line="240" w:lineRule="auto"/>
              <w:jc w:val="both"/>
              <w:rPr>
                <w:rFonts w:ascii="Times New Roman" w:eastAsia="Times New Roman" w:hAnsi="Times New Roman" w:cs="Times New Roman"/>
                <w:bCs/>
                <w:sz w:val="20"/>
                <w:szCs w:val="20"/>
              </w:rPr>
            </w:pPr>
          </w:p>
        </w:tc>
      </w:tr>
      <w:tr w:rsidR="00712E0B" w:rsidRPr="00F62685" w:rsidTr="00DE00BF">
        <w:trPr>
          <w:trHeight w:val="161"/>
        </w:trPr>
        <w:tc>
          <w:tcPr>
            <w:tcW w:w="941" w:type="pct"/>
            <w:shd w:val="clear" w:color="auto" w:fill="auto"/>
          </w:tcPr>
          <w:p w:rsidR="00712E0B" w:rsidRPr="00F62685" w:rsidRDefault="00712E0B" w:rsidP="00A55C00">
            <w:pPr>
              <w:spacing w:before="120" w:after="120" w:line="240" w:lineRule="auto"/>
              <w:rPr>
                <w:rFonts w:ascii="Times New Roman" w:eastAsia="Times New Roman" w:hAnsi="Times New Roman" w:cs="Times New Roman"/>
                <w:b/>
                <w:sz w:val="20"/>
                <w:szCs w:val="20"/>
              </w:rPr>
            </w:pPr>
          </w:p>
        </w:tc>
        <w:tc>
          <w:tcPr>
            <w:tcW w:w="1868" w:type="pct"/>
            <w:shd w:val="clear" w:color="auto" w:fill="auto"/>
          </w:tcPr>
          <w:p w:rsidR="00712E0B" w:rsidRPr="00F62685" w:rsidRDefault="00097BFC"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sidR="00712E0B" w:rsidRPr="00F62685">
              <w:rPr>
                <w:rFonts w:ascii="Times New Roman" w:eastAsia="Times New Roman" w:hAnsi="Times New Roman" w:cs="Times New Roman"/>
                <w:sz w:val="20"/>
                <w:szCs w:val="20"/>
              </w:rPr>
              <w:t xml:space="preserve"> До момента на пълното изграждане и пускане в експлоатация на новата система, за обезпечаване на дейностите по издаване на български документи за самоличност, за периода 2024-2025 ще са необходими средства за текущи разходи в размер на 72 347 800 лв., от които за 2024 г. - 40 600 400 лв.</w:t>
            </w:r>
          </w:p>
        </w:tc>
        <w:tc>
          <w:tcPr>
            <w:tcW w:w="574" w:type="pct"/>
            <w:shd w:val="clear" w:color="auto" w:fill="auto"/>
          </w:tcPr>
          <w:p w:rsidR="00712E0B" w:rsidRPr="00657A5B" w:rsidRDefault="00712E0B" w:rsidP="00712E0B">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3. Приема се по принцип</w:t>
            </w:r>
          </w:p>
          <w:p w:rsidR="00712E0B" w:rsidRPr="00657A5B" w:rsidRDefault="00712E0B" w:rsidP="00474173">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712E0B" w:rsidRPr="00474173" w:rsidRDefault="00DA42C0" w:rsidP="00474173">
            <w:pPr>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3</w:t>
            </w:r>
            <w:r w:rsidR="00712E0B">
              <w:rPr>
                <w:rFonts w:ascii="Times New Roman" w:eastAsia="Times New Roman" w:hAnsi="Times New Roman" w:cs="Times New Roman"/>
                <w:bCs/>
                <w:sz w:val="20"/>
                <w:szCs w:val="20"/>
              </w:rPr>
              <w:t>.</w:t>
            </w:r>
            <w:r>
              <w:rPr>
                <w:rFonts w:ascii="Times New Roman" w:eastAsia="Times New Roman" w:hAnsi="Times New Roman" w:cs="Times New Roman"/>
                <w:bCs/>
                <w:sz w:val="20"/>
                <w:szCs w:val="20"/>
              </w:rPr>
              <w:t xml:space="preserve"> </w:t>
            </w:r>
            <w:r w:rsidR="00C34A4A">
              <w:rPr>
                <w:rFonts w:ascii="Times New Roman" w:eastAsia="Times New Roman" w:hAnsi="Times New Roman" w:cs="Times New Roman"/>
                <w:bCs/>
                <w:sz w:val="20"/>
                <w:szCs w:val="20"/>
              </w:rPr>
              <w:t xml:space="preserve"> С</w:t>
            </w:r>
            <w:r w:rsidR="00C34A4A" w:rsidRPr="00474173">
              <w:rPr>
                <w:rFonts w:ascii="Times New Roman" w:eastAsia="Times New Roman" w:hAnsi="Times New Roman" w:cs="Times New Roman"/>
                <w:bCs/>
                <w:sz w:val="20"/>
                <w:szCs w:val="20"/>
              </w:rPr>
              <w:t xml:space="preserve"> проекта на </w:t>
            </w:r>
            <w:r w:rsidR="00C34A4A">
              <w:rPr>
                <w:rFonts w:ascii="Times New Roman" w:eastAsia="Times New Roman" w:hAnsi="Times New Roman" w:cs="Times New Roman"/>
                <w:bCs/>
                <w:sz w:val="20"/>
                <w:szCs w:val="20"/>
              </w:rPr>
              <w:t>ЗДБРБ</w:t>
            </w:r>
            <w:r w:rsidR="00C34A4A" w:rsidRPr="00474173">
              <w:rPr>
                <w:rFonts w:ascii="Times New Roman" w:eastAsia="Times New Roman" w:hAnsi="Times New Roman" w:cs="Times New Roman"/>
                <w:bCs/>
                <w:sz w:val="20"/>
                <w:szCs w:val="20"/>
              </w:rPr>
              <w:t xml:space="preserve"> за 2024 г. са предвидени средства с такова предназначение.</w:t>
            </w:r>
          </w:p>
        </w:tc>
      </w:tr>
      <w:tr w:rsidR="00712E0B" w:rsidRPr="00F62685" w:rsidTr="00DE00BF">
        <w:trPr>
          <w:trHeight w:val="161"/>
        </w:trPr>
        <w:tc>
          <w:tcPr>
            <w:tcW w:w="941" w:type="pct"/>
            <w:shd w:val="clear" w:color="auto" w:fill="auto"/>
          </w:tcPr>
          <w:p w:rsidR="00712E0B" w:rsidRPr="00F62685" w:rsidRDefault="00712E0B" w:rsidP="00A55C00">
            <w:pPr>
              <w:spacing w:before="120" w:after="120" w:line="240" w:lineRule="auto"/>
              <w:rPr>
                <w:rFonts w:ascii="Times New Roman" w:eastAsia="Times New Roman" w:hAnsi="Times New Roman" w:cs="Times New Roman"/>
                <w:b/>
                <w:sz w:val="20"/>
                <w:szCs w:val="20"/>
              </w:rPr>
            </w:pPr>
          </w:p>
        </w:tc>
        <w:tc>
          <w:tcPr>
            <w:tcW w:w="1868" w:type="pct"/>
            <w:shd w:val="clear" w:color="auto" w:fill="auto"/>
          </w:tcPr>
          <w:p w:rsidR="00712E0B" w:rsidRPr="00F62685" w:rsidRDefault="00097BFC"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w:t>
            </w:r>
            <w:r w:rsidR="00712E0B" w:rsidRPr="00F62685">
              <w:rPr>
                <w:rFonts w:ascii="Times New Roman" w:eastAsia="Times New Roman" w:hAnsi="Times New Roman" w:cs="Times New Roman"/>
                <w:sz w:val="20"/>
                <w:szCs w:val="20"/>
              </w:rPr>
              <w:t xml:space="preserve"> С писмо № 21-27-32/25.07.2023 г., Министерството на отбраната уведомява, че от Междуведомственият съвет по отбранителна индустрия и сигурност на доставките към Министерския съвет с Протокол № 5/17.07.2023 г. на МВР са одобрени средства за финансиране на дейности по отбранително-мобилизационна подготовка за 2024 г., в размер на 2 160 945 лв.</w:t>
            </w:r>
          </w:p>
          <w:p w:rsidR="00712E0B" w:rsidRPr="00F62685" w:rsidRDefault="00712E0B" w:rsidP="00097BFC">
            <w:pPr>
              <w:spacing w:after="60" w:line="240" w:lineRule="auto"/>
              <w:jc w:val="both"/>
              <w:rPr>
                <w:rFonts w:ascii="Times New Roman" w:eastAsia="Times New Roman" w:hAnsi="Times New Roman" w:cs="Times New Roman"/>
                <w:sz w:val="20"/>
                <w:szCs w:val="20"/>
              </w:rPr>
            </w:pPr>
          </w:p>
        </w:tc>
        <w:tc>
          <w:tcPr>
            <w:tcW w:w="574" w:type="pct"/>
            <w:shd w:val="clear" w:color="auto" w:fill="auto"/>
          </w:tcPr>
          <w:p w:rsidR="00712E0B" w:rsidRPr="00657A5B" w:rsidRDefault="00712E0B" w:rsidP="00712E0B">
            <w:pPr>
              <w:spacing w:after="0" w:line="240" w:lineRule="auto"/>
              <w:jc w:val="center"/>
              <w:rPr>
                <w:rFonts w:ascii="Times New Roman" w:hAnsi="Times New Roman" w:cs="Times New Roman"/>
                <w:b/>
              </w:rPr>
            </w:pPr>
            <w:r w:rsidRPr="00657A5B">
              <w:rPr>
                <w:rFonts w:ascii="Times New Roman" w:eastAsia="Times New Roman" w:hAnsi="Times New Roman" w:cs="Times New Roman"/>
                <w:b/>
                <w:sz w:val="20"/>
                <w:szCs w:val="20"/>
              </w:rPr>
              <w:t xml:space="preserve">4. Не се </w:t>
            </w:r>
            <w:r w:rsidRPr="00657A5B">
              <w:rPr>
                <w:rFonts w:ascii="Times New Roman" w:hAnsi="Times New Roman" w:cs="Times New Roman"/>
                <w:b/>
              </w:rPr>
              <w:t>приема</w:t>
            </w:r>
          </w:p>
          <w:p w:rsidR="00712E0B" w:rsidRPr="00657A5B" w:rsidRDefault="00712E0B" w:rsidP="00474173">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712E0B" w:rsidRPr="00474173" w:rsidRDefault="00DA42C0" w:rsidP="00474173">
            <w:pPr>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4</w:t>
            </w:r>
            <w:r w:rsidR="00712E0B">
              <w:rPr>
                <w:rFonts w:ascii="Times New Roman" w:eastAsia="Times New Roman" w:hAnsi="Times New Roman" w:cs="Times New Roman"/>
                <w:bCs/>
                <w:sz w:val="20"/>
                <w:szCs w:val="20"/>
              </w:rPr>
              <w:t>.</w:t>
            </w:r>
            <w:r>
              <w:rPr>
                <w:rFonts w:ascii="Times New Roman" w:eastAsia="Times New Roman" w:hAnsi="Times New Roman" w:cs="Times New Roman"/>
                <w:bCs/>
                <w:sz w:val="20"/>
                <w:szCs w:val="20"/>
              </w:rPr>
              <w:t xml:space="preserve"> </w:t>
            </w:r>
            <w:r w:rsidR="00C34A4A">
              <w:rPr>
                <w:rFonts w:ascii="Times New Roman" w:eastAsia="Times New Roman" w:hAnsi="Times New Roman" w:cs="Times New Roman"/>
                <w:bCs/>
                <w:sz w:val="20"/>
                <w:szCs w:val="20"/>
              </w:rPr>
              <w:t>Средствата за отбранително-мобилизационна подготовка следва да се планират в рамките на бюджетите за съответната година на заинтересованите институции.</w:t>
            </w:r>
          </w:p>
        </w:tc>
      </w:tr>
      <w:tr w:rsidR="00712E0B" w:rsidRPr="00F62685" w:rsidTr="00DE00BF">
        <w:trPr>
          <w:trHeight w:val="161"/>
        </w:trPr>
        <w:tc>
          <w:tcPr>
            <w:tcW w:w="941" w:type="pct"/>
            <w:shd w:val="clear" w:color="auto" w:fill="auto"/>
          </w:tcPr>
          <w:p w:rsidR="00712E0B" w:rsidRPr="00F62685" w:rsidRDefault="00712E0B" w:rsidP="00A55C00">
            <w:pPr>
              <w:spacing w:before="120" w:after="120" w:line="240" w:lineRule="auto"/>
              <w:rPr>
                <w:rFonts w:ascii="Times New Roman" w:eastAsia="Times New Roman" w:hAnsi="Times New Roman" w:cs="Times New Roman"/>
                <w:b/>
                <w:sz w:val="20"/>
                <w:szCs w:val="20"/>
              </w:rPr>
            </w:pPr>
          </w:p>
        </w:tc>
        <w:tc>
          <w:tcPr>
            <w:tcW w:w="1868" w:type="pct"/>
            <w:shd w:val="clear" w:color="auto" w:fill="auto"/>
          </w:tcPr>
          <w:p w:rsidR="00712E0B" w:rsidRPr="00F62685" w:rsidRDefault="00097BFC"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w:t>
            </w:r>
            <w:r w:rsidR="00712E0B" w:rsidRPr="00F62685">
              <w:rPr>
                <w:rFonts w:ascii="Times New Roman" w:eastAsia="Times New Roman" w:hAnsi="Times New Roman" w:cs="Times New Roman"/>
                <w:sz w:val="20"/>
                <w:szCs w:val="20"/>
              </w:rPr>
              <w:t xml:space="preserve"> За опазване на обществения ред и сигурност по време на подготовката и произвеждането на изборите за членове на Европейския парламент от Република България през 2024 г. са необходими финансови средства, общо в размер на 15 032 000 лв., в т.ч. по показател „Персонал“ - 13 600 000 лв. и по показател „Издръжка“ - 1 432 000 лв. Средствата по показател „Персонал“ </w:t>
            </w:r>
            <w:r w:rsidR="00712E0B" w:rsidRPr="00F62685">
              <w:rPr>
                <w:rFonts w:ascii="Times New Roman" w:eastAsia="Times New Roman" w:hAnsi="Times New Roman" w:cs="Times New Roman"/>
                <w:sz w:val="20"/>
                <w:szCs w:val="20"/>
              </w:rPr>
              <w:lastRenderedPageBreak/>
              <w:t>са разчетени при допускането за настоящите размери на възнагражденията.</w:t>
            </w:r>
          </w:p>
        </w:tc>
        <w:tc>
          <w:tcPr>
            <w:tcW w:w="574" w:type="pct"/>
            <w:shd w:val="clear" w:color="auto" w:fill="auto"/>
          </w:tcPr>
          <w:p w:rsidR="00712E0B" w:rsidRPr="00657A5B" w:rsidRDefault="00712E0B" w:rsidP="00474173">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5 .Приема се по принцип</w:t>
            </w:r>
          </w:p>
        </w:tc>
        <w:tc>
          <w:tcPr>
            <w:tcW w:w="1617" w:type="pct"/>
            <w:shd w:val="clear" w:color="auto" w:fill="auto"/>
          </w:tcPr>
          <w:p w:rsidR="00712E0B" w:rsidRPr="00474173" w:rsidRDefault="00712E0B" w:rsidP="00712E0B">
            <w:pPr>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5. </w:t>
            </w:r>
            <w:r w:rsidRPr="00474173">
              <w:rPr>
                <w:rFonts w:ascii="Times New Roman" w:eastAsia="Times New Roman" w:hAnsi="Times New Roman" w:cs="Times New Roman"/>
                <w:bCs/>
                <w:sz w:val="20"/>
                <w:szCs w:val="20"/>
              </w:rPr>
              <w:t>В проекта на ЦБ за 2024 г. са предвидени средства с такова предназначение, като същите се одобряват с план-сметка за изборите по реда на Изборния кодекс.</w:t>
            </w:r>
          </w:p>
          <w:p w:rsidR="00712E0B" w:rsidRPr="00474173" w:rsidRDefault="00712E0B" w:rsidP="00474173">
            <w:pPr>
              <w:spacing w:after="0" w:line="240" w:lineRule="auto"/>
              <w:jc w:val="both"/>
              <w:rPr>
                <w:rFonts w:ascii="Times New Roman" w:eastAsia="Times New Roman" w:hAnsi="Times New Roman" w:cs="Times New Roman"/>
                <w:bCs/>
                <w:sz w:val="20"/>
                <w:szCs w:val="20"/>
              </w:rPr>
            </w:pPr>
          </w:p>
        </w:tc>
      </w:tr>
      <w:tr w:rsidR="00712E0B" w:rsidRPr="00F62685" w:rsidTr="00DE00BF">
        <w:trPr>
          <w:trHeight w:val="161"/>
        </w:trPr>
        <w:tc>
          <w:tcPr>
            <w:tcW w:w="941" w:type="pct"/>
            <w:shd w:val="clear" w:color="auto" w:fill="auto"/>
          </w:tcPr>
          <w:p w:rsidR="00712E0B" w:rsidRPr="00F62685" w:rsidRDefault="00712E0B" w:rsidP="00A55C00">
            <w:pPr>
              <w:spacing w:before="120" w:after="120" w:line="240" w:lineRule="auto"/>
              <w:rPr>
                <w:rFonts w:ascii="Times New Roman" w:eastAsia="Times New Roman" w:hAnsi="Times New Roman" w:cs="Times New Roman"/>
                <w:b/>
                <w:sz w:val="20"/>
                <w:szCs w:val="20"/>
              </w:rPr>
            </w:pPr>
          </w:p>
        </w:tc>
        <w:tc>
          <w:tcPr>
            <w:tcW w:w="1868" w:type="pct"/>
            <w:shd w:val="clear" w:color="auto" w:fill="auto"/>
          </w:tcPr>
          <w:p w:rsidR="00712E0B" w:rsidRPr="00F62685" w:rsidRDefault="00097BFC"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w:t>
            </w:r>
            <w:r w:rsidR="00712E0B" w:rsidRPr="00F62685">
              <w:rPr>
                <w:rFonts w:ascii="Times New Roman" w:eastAsia="Times New Roman" w:hAnsi="Times New Roman" w:cs="Times New Roman"/>
                <w:sz w:val="20"/>
                <w:szCs w:val="20"/>
              </w:rPr>
              <w:t xml:space="preserve"> За опазване на обществения ред и сигурност по време на домакинството на Република България при провеждане на 24-та конференция на страните по Рамковата конвенция на ООН по изменение на климата (КОП 29) през 2024 г. са необходими финансови средства, общо в размер на около 4 500 000 лв. по показател „Издръжка“.</w:t>
            </w:r>
          </w:p>
        </w:tc>
        <w:tc>
          <w:tcPr>
            <w:tcW w:w="574" w:type="pct"/>
            <w:shd w:val="clear" w:color="auto" w:fill="auto"/>
          </w:tcPr>
          <w:p w:rsidR="00712E0B" w:rsidRPr="00657A5B" w:rsidRDefault="00712E0B" w:rsidP="00712E0B">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6. Не се приема</w:t>
            </w:r>
          </w:p>
          <w:p w:rsidR="00712E0B" w:rsidRPr="00657A5B" w:rsidRDefault="00712E0B" w:rsidP="00474173">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712E0B" w:rsidRPr="00474173" w:rsidRDefault="00712E0B" w:rsidP="00712E0B">
            <w:pPr>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6. </w:t>
            </w:r>
            <w:r w:rsidRPr="00474173">
              <w:rPr>
                <w:rFonts w:ascii="Times New Roman" w:eastAsia="Times New Roman" w:hAnsi="Times New Roman" w:cs="Times New Roman"/>
                <w:bCs/>
                <w:sz w:val="20"/>
                <w:szCs w:val="20"/>
              </w:rPr>
              <w:t>В проекта на ЦБ за 2024 г. не са предвидени средства с такова предназначение.</w:t>
            </w:r>
          </w:p>
          <w:p w:rsidR="00712E0B" w:rsidRPr="00474173" w:rsidRDefault="00712E0B" w:rsidP="00712E0B">
            <w:pPr>
              <w:spacing w:after="0" w:line="240" w:lineRule="auto"/>
              <w:jc w:val="both"/>
              <w:rPr>
                <w:rFonts w:ascii="Times New Roman" w:eastAsia="Times New Roman" w:hAnsi="Times New Roman" w:cs="Times New Roman"/>
                <w:bCs/>
                <w:sz w:val="20"/>
                <w:szCs w:val="20"/>
              </w:rPr>
            </w:pPr>
          </w:p>
          <w:p w:rsidR="00712E0B" w:rsidRPr="00474173" w:rsidRDefault="00712E0B" w:rsidP="00474173">
            <w:pPr>
              <w:spacing w:after="0" w:line="240" w:lineRule="auto"/>
              <w:jc w:val="both"/>
              <w:rPr>
                <w:rFonts w:ascii="Times New Roman" w:eastAsia="Times New Roman" w:hAnsi="Times New Roman" w:cs="Times New Roman"/>
                <w:bCs/>
                <w:sz w:val="20"/>
                <w:szCs w:val="20"/>
              </w:rPr>
            </w:pPr>
          </w:p>
        </w:tc>
      </w:tr>
      <w:tr w:rsidR="00712E0B" w:rsidRPr="00F62685" w:rsidTr="00DE00BF">
        <w:trPr>
          <w:trHeight w:val="161"/>
        </w:trPr>
        <w:tc>
          <w:tcPr>
            <w:tcW w:w="941" w:type="pct"/>
            <w:shd w:val="clear" w:color="auto" w:fill="auto"/>
          </w:tcPr>
          <w:p w:rsidR="00712E0B" w:rsidRPr="00F62685" w:rsidRDefault="00712E0B" w:rsidP="00A55C00">
            <w:pPr>
              <w:spacing w:before="120" w:after="120" w:line="240" w:lineRule="auto"/>
              <w:rPr>
                <w:rFonts w:ascii="Times New Roman" w:eastAsia="Times New Roman" w:hAnsi="Times New Roman" w:cs="Times New Roman"/>
                <w:b/>
                <w:sz w:val="20"/>
                <w:szCs w:val="20"/>
              </w:rPr>
            </w:pPr>
          </w:p>
        </w:tc>
        <w:tc>
          <w:tcPr>
            <w:tcW w:w="1868" w:type="pct"/>
            <w:shd w:val="clear" w:color="auto" w:fill="auto"/>
          </w:tcPr>
          <w:p w:rsidR="00712E0B" w:rsidRPr="00F62685" w:rsidRDefault="00097BFC"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w:t>
            </w:r>
            <w:r w:rsidR="00712E0B" w:rsidRPr="00F62685">
              <w:rPr>
                <w:rFonts w:ascii="Times New Roman" w:eastAsia="Times New Roman" w:hAnsi="Times New Roman" w:cs="Times New Roman"/>
                <w:sz w:val="20"/>
                <w:szCs w:val="20"/>
              </w:rPr>
              <w:t xml:space="preserve"> За осигуряване на комплект от специални защитни облекла (тип „</w:t>
            </w:r>
            <w:proofErr w:type="spellStart"/>
            <w:r w:rsidR="00712E0B" w:rsidRPr="00F62685">
              <w:rPr>
                <w:rFonts w:ascii="Times New Roman" w:eastAsia="Times New Roman" w:hAnsi="Times New Roman" w:cs="Times New Roman"/>
                <w:sz w:val="20"/>
                <w:szCs w:val="20"/>
              </w:rPr>
              <w:t>Робокоп</w:t>
            </w:r>
            <w:proofErr w:type="spellEnd"/>
            <w:r w:rsidR="00712E0B" w:rsidRPr="00F62685">
              <w:rPr>
                <w:rFonts w:ascii="Times New Roman" w:eastAsia="Times New Roman" w:hAnsi="Times New Roman" w:cs="Times New Roman"/>
                <w:sz w:val="20"/>
                <w:szCs w:val="20"/>
              </w:rPr>
              <w:t>“), включващ специални артикули за защита на цялото тяло на полицейските служители, необходимите капиталови разходи за 2024 г. са общо в размер на 6 072 000 лв.</w:t>
            </w:r>
          </w:p>
          <w:p w:rsidR="00712E0B" w:rsidRPr="00F62685" w:rsidRDefault="00712E0B"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За осигуряването на специални защитни облекла тип „</w:t>
            </w:r>
            <w:proofErr w:type="spellStart"/>
            <w:r w:rsidRPr="00F62685">
              <w:rPr>
                <w:rFonts w:ascii="Times New Roman" w:eastAsia="Times New Roman" w:hAnsi="Times New Roman" w:cs="Times New Roman"/>
                <w:sz w:val="20"/>
                <w:szCs w:val="20"/>
              </w:rPr>
              <w:t>Робокоп</w:t>
            </w:r>
            <w:proofErr w:type="spellEnd"/>
            <w:r w:rsidRPr="00F62685">
              <w:rPr>
                <w:rFonts w:ascii="Times New Roman" w:eastAsia="Times New Roman" w:hAnsi="Times New Roman" w:cs="Times New Roman"/>
                <w:sz w:val="20"/>
                <w:szCs w:val="20"/>
              </w:rPr>
              <w:t>“ е сключен договор № 5785опд-55/14.07.2021 г. за „Доставки до 1766 бр. защитни комплекта тип „</w:t>
            </w:r>
            <w:proofErr w:type="spellStart"/>
            <w:r w:rsidRPr="00F62685">
              <w:rPr>
                <w:rFonts w:ascii="Times New Roman" w:eastAsia="Times New Roman" w:hAnsi="Times New Roman" w:cs="Times New Roman"/>
                <w:sz w:val="20"/>
                <w:szCs w:val="20"/>
              </w:rPr>
              <w:t>Робокоп</w:t>
            </w:r>
            <w:proofErr w:type="spellEnd"/>
            <w:r w:rsidRPr="00F62685">
              <w:rPr>
                <w:rFonts w:ascii="Times New Roman" w:eastAsia="Times New Roman" w:hAnsi="Times New Roman" w:cs="Times New Roman"/>
                <w:sz w:val="20"/>
                <w:szCs w:val="20"/>
              </w:rPr>
              <w:t>““. Изпълнението на договора е пряко свързано с обезпечаване на функционалните задължения на ГДЖСОБТ и ОДМВР при опазването на реда и сигурността на гражданите на Република България.</w:t>
            </w:r>
          </w:p>
        </w:tc>
        <w:tc>
          <w:tcPr>
            <w:tcW w:w="574" w:type="pct"/>
            <w:shd w:val="clear" w:color="auto" w:fill="auto"/>
          </w:tcPr>
          <w:p w:rsidR="00712E0B" w:rsidRPr="00657A5B" w:rsidRDefault="00712E0B" w:rsidP="00712E0B">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7. Не се приема</w:t>
            </w:r>
          </w:p>
          <w:p w:rsidR="00712E0B" w:rsidRPr="00657A5B" w:rsidRDefault="00712E0B" w:rsidP="00474173">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712E0B" w:rsidRPr="00474173" w:rsidRDefault="00712E0B" w:rsidP="00712E0B">
            <w:pPr>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7. </w:t>
            </w:r>
            <w:r w:rsidRPr="00474173">
              <w:rPr>
                <w:rFonts w:ascii="Times New Roman" w:eastAsia="Times New Roman" w:hAnsi="Times New Roman" w:cs="Times New Roman"/>
                <w:bCs/>
                <w:sz w:val="20"/>
                <w:szCs w:val="20"/>
              </w:rPr>
              <w:t xml:space="preserve">В проекта на </w:t>
            </w:r>
            <w:r w:rsidR="00C34A4A">
              <w:rPr>
                <w:rFonts w:ascii="Times New Roman" w:eastAsia="Times New Roman" w:hAnsi="Times New Roman" w:cs="Times New Roman"/>
                <w:bCs/>
                <w:sz w:val="20"/>
                <w:szCs w:val="20"/>
              </w:rPr>
              <w:t>ЗДБРБ</w:t>
            </w:r>
            <w:r w:rsidRPr="00474173">
              <w:rPr>
                <w:rFonts w:ascii="Times New Roman" w:eastAsia="Times New Roman" w:hAnsi="Times New Roman" w:cs="Times New Roman"/>
                <w:bCs/>
                <w:sz w:val="20"/>
                <w:szCs w:val="20"/>
              </w:rPr>
              <w:t xml:space="preserve"> за 2024 г. не са предвидени средства с такова предназначение.</w:t>
            </w:r>
          </w:p>
          <w:p w:rsidR="00712E0B" w:rsidRPr="00474173" w:rsidRDefault="00712E0B" w:rsidP="00474173">
            <w:pPr>
              <w:spacing w:after="0" w:line="240" w:lineRule="auto"/>
              <w:jc w:val="both"/>
              <w:rPr>
                <w:rFonts w:ascii="Times New Roman" w:eastAsia="Times New Roman" w:hAnsi="Times New Roman" w:cs="Times New Roman"/>
                <w:bCs/>
                <w:sz w:val="20"/>
                <w:szCs w:val="20"/>
              </w:rPr>
            </w:pPr>
          </w:p>
        </w:tc>
      </w:tr>
      <w:tr w:rsidR="00712E0B" w:rsidRPr="00F62685" w:rsidTr="00DE00BF">
        <w:trPr>
          <w:trHeight w:val="161"/>
        </w:trPr>
        <w:tc>
          <w:tcPr>
            <w:tcW w:w="941" w:type="pct"/>
            <w:shd w:val="clear" w:color="auto" w:fill="auto"/>
          </w:tcPr>
          <w:p w:rsidR="00712E0B" w:rsidRPr="00F62685" w:rsidRDefault="00712E0B" w:rsidP="00A55C00">
            <w:pPr>
              <w:spacing w:before="120" w:after="120" w:line="240" w:lineRule="auto"/>
              <w:rPr>
                <w:rFonts w:ascii="Times New Roman" w:eastAsia="Times New Roman" w:hAnsi="Times New Roman" w:cs="Times New Roman"/>
                <w:b/>
                <w:sz w:val="20"/>
                <w:szCs w:val="20"/>
              </w:rPr>
            </w:pPr>
          </w:p>
        </w:tc>
        <w:tc>
          <w:tcPr>
            <w:tcW w:w="1868" w:type="pct"/>
            <w:shd w:val="clear" w:color="auto" w:fill="auto"/>
          </w:tcPr>
          <w:p w:rsidR="00712E0B" w:rsidRPr="00F62685" w:rsidRDefault="00097BFC"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w:t>
            </w:r>
            <w:r w:rsidR="00712E0B" w:rsidRPr="00F62685">
              <w:rPr>
                <w:rFonts w:ascii="Times New Roman" w:eastAsia="Times New Roman" w:hAnsi="Times New Roman" w:cs="Times New Roman"/>
                <w:sz w:val="20"/>
                <w:szCs w:val="20"/>
              </w:rPr>
              <w:t xml:space="preserve"> С писмо, </w:t>
            </w:r>
            <w:proofErr w:type="spellStart"/>
            <w:r w:rsidR="00712E0B" w:rsidRPr="00F62685">
              <w:rPr>
                <w:rFonts w:ascii="Times New Roman" w:eastAsia="Times New Roman" w:hAnsi="Times New Roman" w:cs="Times New Roman"/>
                <w:sz w:val="20"/>
                <w:szCs w:val="20"/>
              </w:rPr>
              <w:t>per</w:t>
            </w:r>
            <w:proofErr w:type="spellEnd"/>
            <w:r w:rsidR="00712E0B" w:rsidRPr="00F62685">
              <w:rPr>
                <w:rFonts w:ascii="Times New Roman" w:eastAsia="Times New Roman" w:hAnsi="Times New Roman" w:cs="Times New Roman"/>
                <w:sz w:val="20"/>
                <w:szCs w:val="20"/>
              </w:rPr>
              <w:t>. № 812100-19261/07.11.2023 г„ МВР е заявило необходимост от осигуряването на допълнителни финансови средства по бюджета на МВР за 2024 г. във връзка с управлението на инженерното съоръжение от възпрепятстващ тип ГИСВТ) по българо- турската граница. Посочените потребности са заложени съгласно предоставени заявки от Главна дирекция „Гранична полиция“ (ГДГП). ИСВТ е предоставено безвъзмездно за управление на МВР за нуждите на ГДГП с Решение №677 на Министерския съвет от 17 септември 2021 г. Заявените средства са за закупуване на строителни материали, консумативи и инструменти за извършване на текущ ремонт и поддръжка на инженерно съоръжение от възпрепятстващ тип и прилежащ път, възлагане и извършване на строително монтажни работи за възстановяване на разрушени участъци от инженерното съоръжение от възпрепятстващ тип и прилежащия път, както и за закупуване на стопански инвентар и оборудване за поддръжка на съоръжението.</w:t>
            </w:r>
          </w:p>
          <w:p w:rsidR="00712E0B" w:rsidRPr="00F62685" w:rsidRDefault="00712E0B"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С чл. 1, ал. 5 т. 8 от Законопроекта са предвидени разходи по централния бюджет за 2024 г. за изпълнението на политика в област „Вътрешен ред и сигурност“ в общ размер 57 000,0 хил. лв., в т. ч. 7 000,0 хил. лв. за извънгаранционно поддържане на временното възпрепятстващо съоръжение по българо-турската граница и допълнителни дейности по ремонт и надграждане.</w:t>
            </w:r>
          </w:p>
        </w:tc>
        <w:tc>
          <w:tcPr>
            <w:tcW w:w="574" w:type="pct"/>
            <w:shd w:val="clear" w:color="auto" w:fill="auto"/>
          </w:tcPr>
          <w:p w:rsidR="00712E0B" w:rsidRPr="00657A5B" w:rsidRDefault="00712E0B" w:rsidP="00712E0B">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8. Приема се по принцип</w:t>
            </w:r>
          </w:p>
          <w:p w:rsidR="00712E0B" w:rsidRPr="00657A5B" w:rsidRDefault="00712E0B" w:rsidP="00712E0B">
            <w:pPr>
              <w:spacing w:after="0" w:line="240" w:lineRule="auto"/>
              <w:jc w:val="center"/>
              <w:rPr>
                <w:rFonts w:ascii="Times New Roman" w:eastAsia="Times New Roman" w:hAnsi="Times New Roman" w:cs="Times New Roman"/>
                <w:b/>
                <w:sz w:val="20"/>
                <w:szCs w:val="20"/>
              </w:rPr>
            </w:pPr>
          </w:p>
          <w:p w:rsidR="00712E0B" w:rsidRPr="00657A5B" w:rsidRDefault="00712E0B" w:rsidP="00474173">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712E0B" w:rsidRPr="00474173" w:rsidRDefault="00712E0B" w:rsidP="00712E0B">
            <w:pPr>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8. </w:t>
            </w:r>
            <w:r w:rsidRPr="00474173">
              <w:rPr>
                <w:rFonts w:ascii="Times New Roman" w:eastAsia="Times New Roman" w:hAnsi="Times New Roman" w:cs="Times New Roman"/>
                <w:bCs/>
                <w:sz w:val="20"/>
                <w:szCs w:val="20"/>
              </w:rPr>
              <w:t xml:space="preserve">В проекта на </w:t>
            </w:r>
            <w:r w:rsidR="00C16A5E">
              <w:rPr>
                <w:rFonts w:ascii="Times New Roman" w:eastAsia="Times New Roman" w:hAnsi="Times New Roman" w:cs="Times New Roman"/>
                <w:bCs/>
                <w:sz w:val="20"/>
                <w:szCs w:val="20"/>
              </w:rPr>
              <w:t>ЗДБРБ</w:t>
            </w:r>
            <w:r w:rsidRPr="00474173">
              <w:rPr>
                <w:rFonts w:ascii="Times New Roman" w:eastAsia="Times New Roman" w:hAnsi="Times New Roman" w:cs="Times New Roman"/>
                <w:bCs/>
                <w:sz w:val="20"/>
                <w:szCs w:val="20"/>
              </w:rPr>
              <w:t xml:space="preserve"> за 2024 г. са предвидени средства с такова предназначение.</w:t>
            </w:r>
          </w:p>
          <w:p w:rsidR="00712E0B" w:rsidRPr="00474173" w:rsidRDefault="00712E0B" w:rsidP="00712E0B">
            <w:pPr>
              <w:spacing w:after="0" w:line="240" w:lineRule="auto"/>
              <w:jc w:val="both"/>
              <w:rPr>
                <w:rFonts w:ascii="Times New Roman" w:eastAsia="Times New Roman" w:hAnsi="Times New Roman" w:cs="Times New Roman"/>
                <w:bCs/>
                <w:sz w:val="20"/>
                <w:szCs w:val="20"/>
              </w:rPr>
            </w:pPr>
          </w:p>
          <w:p w:rsidR="00712E0B" w:rsidRPr="00474173" w:rsidRDefault="00712E0B" w:rsidP="00474173">
            <w:pPr>
              <w:spacing w:after="0" w:line="240" w:lineRule="auto"/>
              <w:jc w:val="both"/>
              <w:rPr>
                <w:rFonts w:ascii="Times New Roman" w:eastAsia="Times New Roman" w:hAnsi="Times New Roman" w:cs="Times New Roman"/>
                <w:bCs/>
                <w:sz w:val="20"/>
                <w:szCs w:val="20"/>
              </w:rPr>
            </w:pPr>
          </w:p>
        </w:tc>
      </w:tr>
      <w:tr w:rsidR="00712E0B" w:rsidRPr="00F62685" w:rsidTr="00DE00BF">
        <w:trPr>
          <w:trHeight w:val="161"/>
        </w:trPr>
        <w:tc>
          <w:tcPr>
            <w:tcW w:w="941" w:type="pct"/>
            <w:shd w:val="clear" w:color="auto" w:fill="auto"/>
          </w:tcPr>
          <w:p w:rsidR="00712E0B" w:rsidRPr="00F62685" w:rsidRDefault="00712E0B" w:rsidP="00A55C00">
            <w:pPr>
              <w:spacing w:before="120" w:after="120" w:line="240" w:lineRule="auto"/>
              <w:rPr>
                <w:rFonts w:ascii="Times New Roman" w:eastAsia="Times New Roman" w:hAnsi="Times New Roman" w:cs="Times New Roman"/>
                <w:b/>
                <w:sz w:val="20"/>
                <w:szCs w:val="20"/>
              </w:rPr>
            </w:pPr>
          </w:p>
        </w:tc>
        <w:tc>
          <w:tcPr>
            <w:tcW w:w="1868" w:type="pct"/>
            <w:shd w:val="clear" w:color="auto" w:fill="auto"/>
          </w:tcPr>
          <w:p w:rsidR="00712E0B" w:rsidRPr="00F62685" w:rsidRDefault="00097BFC"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w:t>
            </w:r>
            <w:r w:rsidR="00712E0B" w:rsidRPr="00F62685">
              <w:rPr>
                <w:rFonts w:ascii="Times New Roman" w:eastAsia="Times New Roman" w:hAnsi="Times New Roman" w:cs="Times New Roman"/>
                <w:sz w:val="20"/>
                <w:szCs w:val="20"/>
              </w:rPr>
              <w:t xml:space="preserve"> В случай че през 2024 г. продължи засиления миграционен натиск по държавните граници на Република България с Република Турция и Република Гърция и необходимостта от прилагане на допълнителни мерки за повишаване ефективността на осъществяваното наблюдение на границата за своевременното предотвратяване, пресичане и разкриване на престъпления, свързани с незаконна миграция и трафик на хора, съгласно предоставени заявки от структурите на МВР, е необходимо осигуряването на допълнителни финансови средства по бюджета на МВР за 2024 г., общо в размер на около 46 322 000 лв. Разчетите са изготвени на базата на извършените към 30.09.2023 г. и очакваните до края на 2023 г. разходи от структурите на МВР, както и предоставени заявки от ГДГП, за дейности в условията на засиления миграционен натиск.</w:t>
            </w:r>
          </w:p>
          <w:p w:rsidR="00712E0B" w:rsidRPr="00F62685" w:rsidRDefault="00712E0B"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Съгласно извършен анализ от ГДГП и направено предложение, необходимите човешки ресурси за ефективно изпълнение на функциите на ГДГП са общо 1 264 щатни бройки, за увеличение на щатния състав на групите за охрана на държавната граница в граничните полицейски управления, в секторите за специални тактически действия чрез разкриване на групи в тях, в граничните пропускателни пунктове и в граничните полицейски управления I степен за длъжности за оперативно дежурство.</w:t>
            </w:r>
          </w:p>
          <w:p w:rsidR="00712E0B" w:rsidRPr="00F62685" w:rsidRDefault="00712E0B"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С така предложеното увеличение на щатния състав, се очаква изпълнението на функциите на гранична полиция да не налага командироване на допълнителни сили и средства от други структури на МВР и от Министерство на отбраната.</w:t>
            </w:r>
          </w:p>
          <w:p w:rsidR="00712E0B" w:rsidRPr="00F62685" w:rsidRDefault="00712E0B"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В допълнение на горното, командироването на служители, в т.ч. и от областните дирекции на МВР и пренасочването им за осъществяване на дейностите по противодействие на миграционния натиск, генерира допълнителни разходи на областните дирекции на МВР и увеличава разходите за извънреден труд в съответните структури за обезпечаване на основаните им дейности.</w:t>
            </w:r>
          </w:p>
          <w:p w:rsidR="00712E0B" w:rsidRPr="00F62685" w:rsidRDefault="00712E0B"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В тази връзка може да се направи извода, че осигуряването на заявените от ГДГП щатни бройки в голяма степен ще доведе до намаление на разходите за командировки и извънреден труд на МВР в условията на засилен миграционен натиск.</w:t>
            </w:r>
          </w:p>
          <w:p w:rsidR="00712E0B" w:rsidRPr="00F62685" w:rsidRDefault="00712E0B"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За целта следва да се предприеме необходимото за увеличаване на общата щатна численост на МВР. Предложените общо 1 264 щатни бройки се разпределят както следва: 183 за държавни служители с висше образование на изпълнителски длъжности, 1 027 за държавни служители със средно образование на младши </w:t>
            </w:r>
            <w:r w:rsidRPr="00F62685">
              <w:rPr>
                <w:rFonts w:ascii="Times New Roman" w:eastAsia="Times New Roman" w:hAnsi="Times New Roman" w:cs="Times New Roman"/>
                <w:sz w:val="20"/>
                <w:szCs w:val="20"/>
              </w:rPr>
              <w:lastRenderedPageBreak/>
              <w:t>изпълнителски длъжности и 54 за лица, работещи по трудови правоотношения.</w:t>
            </w:r>
          </w:p>
          <w:p w:rsidR="00712E0B" w:rsidRPr="00F62685" w:rsidRDefault="00712E0B"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Необходимите финансови средства за обезпечаване на възнагражденията на предлаганите допълнителни 1 264 щатни бройки на ГДГП са около 50 595 000 лв., в т.ч. 19 744 000 лв. за осигурителни вноски за 1 година.</w:t>
            </w:r>
          </w:p>
        </w:tc>
        <w:tc>
          <w:tcPr>
            <w:tcW w:w="574" w:type="pct"/>
            <w:shd w:val="clear" w:color="auto" w:fill="auto"/>
          </w:tcPr>
          <w:p w:rsidR="00712E0B" w:rsidRPr="00657A5B" w:rsidRDefault="00712E0B" w:rsidP="00474173">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9. Приема се по принцип</w:t>
            </w:r>
          </w:p>
        </w:tc>
        <w:tc>
          <w:tcPr>
            <w:tcW w:w="1617" w:type="pct"/>
            <w:shd w:val="clear" w:color="auto" w:fill="auto"/>
          </w:tcPr>
          <w:p w:rsidR="00712E0B" w:rsidRPr="00474173" w:rsidRDefault="00712E0B" w:rsidP="00130828">
            <w:pPr>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9. </w:t>
            </w:r>
            <w:r w:rsidR="00130828" w:rsidRPr="00474173">
              <w:rPr>
                <w:rFonts w:ascii="Times New Roman" w:eastAsia="Times New Roman" w:hAnsi="Times New Roman" w:cs="Times New Roman"/>
                <w:bCs/>
                <w:sz w:val="20"/>
                <w:szCs w:val="20"/>
              </w:rPr>
              <w:t>В проекта на ЦБ за 2024 г. са предвидени средства с такова предназначение</w:t>
            </w:r>
            <w:r w:rsidR="00130828">
              <w:rPr>
                <w:rFonts w:ascii="Times New Roman" w:eastAsia="Times New Roman" w:hAnsi="Times New Roman" w:cs="Times New Roman"/>
                <w:bCs/>
                <w:sz w:val="20"/>
                <w:szCs w:val="20"/>
              </w:rPr>
              <w:t>, във връзка с дейностите, свързани със засиления миграционен натиск</w:t>
            </w:r>
            <w:r w:rsidR="00130828" w:rsidRPr="00474173">
              <w:rPr>
                <w:rFonts w:ascii="Times New Roman" w:eastAsia="Times New Roman" w:hAnsi="Times New Roman" w:cs="Times New Roman"/>
                <w:bCs/>
                <w:sz w:val="20"/>
                <w:szCs w:val="20"/>
              </w:rPr>
              <w:t>.</w:t>
            </w:r>
          </w:p>
        </w:tc>
      </w:tr>
      <w:tr w:rsidR="00A55C00" w:rsidRPr="00F62685" w:rsidTr="00DE00BF">
        <w:trPr>
          <w:trHeight w:val="161"/>
        </w:trPr>
        <w:tc>
          <w:tcPr>
            <w:tcW w:w="941" w:type="pct"/>
            <w:shd w:val="clear" w:color="auto" w:fill="auto"/>
          </w:tcPr>
          <w:p w:rsidR="00A55C00" w:rsidRPr="00F62685" w:rsidRDefault="00A55C00" w:rsidP="00A55C00">
            <w:pPr>
              <w:spacing w:before="120" w:after="120" w:line="240" w:lineRule="auto"/>
              <w:rPr>
                <w:rFonts w:ascii="Times New Roman" w:eastAsia="Times New Roman" w:hAnsi="Times New Roman" w:cs="Times New Roman"/>
                <w:b/>
                <w:sz w:val="20"/>
                <w:szCs w:val="20"/>
              </w:rPr>
            </w:pPr>
          </w:p>
        </w:tc>
        <w:tc>
          <w:tcPr>
            <w:tcW w:w="1868" w:type="pct"/>
            <w:shd w:val="clear" w:color="auto" w:fill="auto"/>
          </w:tcPr>
          <w:p w:rsidR="00A55C00" w:rsidRPr="00A55C00" w:rsidRDefault="00E9008B"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В допълнение, съгласно Наредба № Н-15/27.04.2010 г. за условията, размерите и реда за изплащане на допълнителни възнаграждения за специфични условия при изпълнение на военната служба на военнослужещите и за специфични условия на труд на цивилните служители от Министерството на отбраната, структурите на пряко подчинение на министъра на отбраната и Българската армия, на военнослужещите и цивилните служители, отдадени в заповед за изпълнение на задачи на място по участие в охраната на държавната граница по чл. 57, ал. 1, т. 3 от Закона за отбраната и въоръжените сили на Република България, се изплаща допълнително месечно въз</w:t>
            </w:r>
            <w:r>
              <w:rPr>
                <w:rFonts w:ascii="Times New Roman" w:eastAsia="Times New Roman" w:hAnsi="Times New Roman" w:cs="Times New Roman"/>
                <w:sz w:val="20"/>
                <w:szCs w:val="20"/>
              </w:rPr>
              <w:t>награждение в размер на 500 лв.</w:t>
            </w:r>
            <w:r w:rsidR="00097BFC">
              <w:rPr>
                <w:rFonts w:ascii="Times New Roman" w:eastAsia="Times New Roman" w:hAnsi="Times New Roman" w:cs="Times New Roman"/>
                <w:sz w:val="20"/>
                <w:szCs w:val="20"/>
              </w:rPr>
              <w:t xml:space="preserve"> </w:t>
            </w:r>
            <w:r w:rsidR="00A55C00" w:rsidRPr="00F62685">
              <w:rPr>
                <w:rFonts w:ascii="Times New Roman" w:eastAsia="Times New Roman" w:hAnsi="Times New Roman" w:cs="Times New Roman"/>
                <w:sz w:val="20"/>
                <w:szCs w:val="20"/>
              </w:rPr>
              <w:t>В тази връзка считаме, че следва да се предвиди възможност за осигуряване на идентично допълнително възнаграждение на служителите на МВР, за изпълнение на дейности по участие в охраната на държавната граница. При определяне на допълнително месечно възнаграждение в размер на 500 лв., необходимите допълнителни разходи по бюджета на МВР за 2024 г. възлизат на около 27 600 000 лв.</w:t>
            </w:r>
          </w:p>
        </w:tc>
        <w:tc>
          <w:tcPr>
            <w:tcW w:w="574" w:type="pct"/>
            <w:shd w:val="clear" w:color="auto" w:fill="auto"/>
          </w:tcPr>
          <w:p w:rsidR="00A55C00" w:rsidRPr="00657A5B" w:rsidRDefault="00A55C00" w:rsidP="00A55C00">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Не се приема</w:t>
            </w:r>
          </w:p>
        </w:tc>
        <w:tc>
          <w:tcPr>
            <w:tcW w:w="1617" w:type="pct"/>
            <w:shd w:val="clear" w:color="auto" w:fill="auto"/>
          </w:tcPr>
          <w:p w:rsidR="00A55C00" w:rsidRPr="00E040CF" w:rsidRDefault="00A55C00" w:rsidP="00A55C00">
            <w:pPr>
              <w:spacing w:after="0" w:line="240" w:lineRule="auto"/>
              <w:jc w:val="both"/>
              <w:rPr>
                <w:rFonts w:ascii="Times New Roman" w:eastAsia="Times New Roman" w:hAnsi="Times New Roman" w:cs="Times New Roman"/>
                <w:sz w:val="20"/>
                <w:szCs w:val="20"/>
              </w:rPr>
            </w:pPr>
            <w:r w:rsidRPr="00E040CF">
              <w:rPr>
                <w:rFonts w:ascii="Times New Roman" w:eastAsia="Times New Roman" w:hAnsi="Times New Roman" w:cs="Times New Roman"/>
                <w:sz w:val="20"/>
                <w:szCs w:val="20"/>
              </w:rPr>
              <w:t>Предложеният размер на разходите по бюджета на Министерството на вътрешните работи е съобразен с възможностите на държавния бюджет за 2024 г., базиран на есенната макроикономическа прогноза на Министерството на финансите, на действащото законодателство, прилагане на възприетите политики и допускания от правителството за периода 2024-2026 г., отчетни данни и оценка на възможностите за реализиране на инвестиционните разходи в рамките на бюджетната година, предприетите оптимизиращи приходни и разходни мерки със съответните ефекти и предложения за законодателни промени.</w:t>
            </w:r>
          </w:p>
          <w:p w:rsidR="00A55C00" w:rsidRPr="00A55C00" w:rsidRDefault="00A55C00" w:rsidP="00A55C00">
            <w:pPr>
              <w:spacing w:after="0" w:line="240" w:lineRule="auto"/>
              <w:jc w:val="both"/>
              <w:rPr>
                <w:rFonts w:ascii="Times New Roman" w:eastAsia="Times New Roman" w:hAnsi="Times New Roman" w:cs="Times New Roman"/>
                <w:sz w:val="20"/>
                <w:szCs w:val="20"/>
              </w:rPr>
            </w:pPr>
            <w:r w:rsidRPr="00E040CF">
              <w:rPr>
                <w:rFonts w:ascii="Times New Roman" w:eastAsia="Times New Roman" w:hAnsi="Times New Roman" w:cs="Times New Roman"/>
                <w:sz w:val="20"/>
                <w:szCs w:val="20"/>
              </w:rPr>
              <w:t>В тази връзка и предвид ограниченото фискално пространство, на този етап предложения за увеличения в разходната част не биха могли да бъдат удовлетворени.</w:t>
            </w:r>
          </w:p>
        </w:tc>
      </w:tr>
      <w:tr w:rsidR="00A55C00" w:rsidRPr="00F62685" w:rsidTr="00DE00BF">
        <w:trPr>
          <w:trHeight w:val="161"/>
        </w:trPr>
        <w:tc>
          <w:tcPr>
            <w:tcW w:w="941" w:type="pct"/>
            <w:shd w:val="clear" w:color="auto" w:fill="auto"/>
          </w:tcPr>
          <w:p w:rsidR="00A55C00" w:rsidRPr="00F62685" w:rsidRDefault="00A55C00" w:rsidP="00A55C00">
            <w:pPr>
              <w:spacing w:before="120" w:after="120" w:line="240" w:lineRule="auto"/>
              <w:rPr>
                <w:rFonts w:ascii="Times New Roman" w:eastAsia="Times New Roman" w:hAnsi="Times New Roman" w:cs="Times New Roman"/>
                <w:b/>
                <w:sz w:val="20"/>
                <w:szCs w:val="20"/>
              </w:rPr>
            </w:pPr>
          </w:p>
        </w:tc>
        <w:tc>
          <w:tcPr>
            <w:tcW w:w="1868" w:type="pct"/>
            <w:shd w:val="clear" w:color="auto" w:fill="auto"/>
          </w:tcPr>
          <w:p w:rsidR="00A55C00" w:rsidRPr="00F62685" w:rsidRDefault="00AE1C9C"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В допълнение, с представеното с писмо, </w:t>
            </w:r>
            <w:proofErr w:type="spellStart"/>
            <w:r w:rsidRPr="00F62685">
              <w:rPr>
                <w:rFonts w:ascii="Times New Roman" w:eastAsia="Times New Roman" w:hAnsi="Times New Roman" w:cs="Times New Roman"/>
                <w:sz w:val="20"/>
                <w:szCs w:val="20"/>
              </w:rPr>
              <w:t>per</w:t>
            </w:r>
            <w:proofErr w:type="spellEnd"/>
            <w:r w:rsidRPr="00F62685">
              <w:rPr>
                <w:rFonts w:ascii="Times New Roman" w:eastAsia="Times New Roman" w:hAnsi="Times New Roman" w:cs="Times New Roman"/>
                <w:sz w:val="20"/>
                <w:szCs w:val="20"/>
              </w:rPr>
              <w:t>. № 812100-19261/07.11.2023 г., становище МВР е заявило необходимост от допълнителни средства в размер на около 70 000 000 лв. с ДДС за 2024 г., съобразно изготвените индикативни разчети за предприемане на мерки с цел подобряване на организацията на работа и пропускателния режим в зоните на ГКПП на външни граници (с приоритет ГКПП Капитан Андреево и ГКПП Калотина), в т. ч. и необходимите финансови средства по бюджета на МВР за реализиране на проект в ГДГП „Радио-</w:t>
            </w:r>
            <w:proofErr w:type="spellStart"/>
            <w:r w:rsidRPr="00F62685">
              <w:rPr>
                <w:rFonts w:ascii="Times New Roman" w:eastAsia="Times New Roman" w:hAnsi="Times New Roman" w:cs="Times New Roman"/>
                <w:sz w:val="20"/>
                <w:szCs w:val="20"/>
              </w:rPr>
              <w:t>локационна</w:t>
            </w:r>
            <w:proofErr w:type="spellEnd"/>
            <w:r w:rsidRPr="00F62685">
              <w:rPr>
                <w:rFonts w:ascii="Times New Roman" w:eastAsia="Times New Roman" w:hAnsi="Times New Roman" w:cs="Times New Roman"/>
                <w:sz w:val="20"/>
                <w:szCs w:val="20"/>
              </w:rPr>
              <w:t xml:space="preserve"> система за детекция и класификация на </w:t>
            </w:r>
            <w:r>
              <w:rPr>
                <w:rFonts w:ascii="Times New Roman" w:eastAsia="Times New Roman" w:hAnsi="Times New Roman" w:cs="Times New Roman"/>
                <w:sz w:val="20"/>
                <w:szCs w:val="20"/>
              </w:rPr>
              <w:t xml:space="preserve">ниско летящи обекти до 3000 </w:t>
            </w:r>
            <w:proofErr w:type="spellStart"/>
            <w:r>
              <w:rPr>
                <w:rFonts w:ascii="Times New Roman" w:eastAsia="Times New Roman" w:hAnsi="Times New Roman" w:cs="Times New Roman"/>
                <w:sz w:val="20"/>
                <w:szCs w:val="20"/>
              </w:rPr>
              <w:t>м.“</w:t>
            </w:r>
            <w:r w:rsidR="00A55C00" w:rsidRPr="00F62685">
              <w:rPr>
                <w:rFonts w:ascii="Times New Roman" w:eastAsia="Times New Roman" w:hAnsi="Times New Roman" w:cs="Times New Roman"/>
                <w:sz w:val="20"/>
                <w:szCs w:val="20"/>
              </w:rPr>
              <w:t>С</w:t>
            </w:r>
            <w:proofErr w:type="spellEnd"/>
            <w:r w:rsidR="00A55C00" w:rsidRPr="00F62685">
              <w:rPr>
                <w:rFonts w:ascii="Times New Roman" w:eastAsia="Times New Roman" w:hAnsi="Times New Roman" w:cs="Times New Roman"/>
                <w:sz w:val="20"/>
                <w:szCs w:val="20"/>
              </w:rPr>
              <w:t xml:space="preserve"> чл. 1, ал. 5 т. 8 се предвиждат допълнителни средства по централния бюджет за 2024 г. в размер на 57 000,0 лв. за разходи за дейности за изпълнението на политиката в област „Вътрешен ред и сигурност“ са разпределени, както следва:</w:t>
            </w:r>
          </w:p>
          <w:p w:rsidR="00A55C00" w:rsidRPr="00F62685" w:rsidRDefault="00097BFC"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A55C00" w:rsidRPr="00F62685">
              <w:rPr>
                <w:rFonts w:ascii="Times New Roman" w:eastAsia="Times New Roman" w:hAnsi="Times New Roman" w:cs="Times New Roman"/>
                <w:sz w:val="20"/>
                <w:szCs w:val="20"/>
              </w:rPr>
              <w:t xml:space="preserve"> 50 000,0 хил. лв. - във връзка с дейностите, свързани с държавната граница, в т.ч. за изграждане на радио-</w:t>
            </w:r>
            <w:proofErr w:type="spellStart"/>
            <w:r w:rsidR="00A55C00" w:rsidRPr="00F62685">
              <w:rPr>
                <w:rFonts w:ascii="Times New Roman" w:eastAsia="Times New Roman" w:hAnsi="Times New Roman" w:cs="Times New Roman"/>
                <w:sz w:val="20"/>
                <w:szCs w:val="20"/>
              </w:rPr>
              <w:t>локационна</w:t>
            </w:r>
            <w:proofErr w:type="spellEnd"/>
            <w:r w:rsidR="00A55C00" w:rsidRPr="00F62685">
              <w:rPr>
                <w:rFonts w:ascii="Times New Roman" w:eastAsia="Times New Roman" w:hAnsi="Times New Roman" w:cs="Times New Roman"/>
                <w:sz w:val="20"/>
                <w:szCs w:val="20"/>
              </w:rPr>
              <w:t xml:space="preserve"> </w:t>
            </w:r>
            <w:r w:rsidR="00A55C00" w:rsidRPr="00F62685">
              <w:rPr>
                <w:rFonts w:ascii="Times New Roman" w:eastAsia="Times New Roman" w:hAnsi="Times New Roman" w:cs="Times New Roman"/>
                <w:sz w:val="20"/>
                <w:szCs w:val="20"/>
              </w:rPr>
              <w:lastRenderedPageBreak/>
              <w:t>система за детекция и класификация на ниско летящи обекти до 3 хил. м;</w:t>
            </w:r>
          </w:p>
          <w:p w:rsidR="00A55C00" w:rsidRPr="00F62685" w:rsidRDefault="00097BFC"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A55C00" w:rsidRPr="00F62685">
              <w:rPr>
                <w:rFonts w:ascii="Times New Roman" w:eastAsia="Times New Roman" w:hAnsi="Times New Roman" w:cs="Times New Roman"/>
                <w:sz w:val="20"/>
                <w:szCs w:val="20"/>
              </w:rPr>
              <w:t xml:space="preserve"> 7 000,0 хил. лв. - за извънгаранционно поддържане на временното възпрепятстващо съоръжение по българо-турската граница и допълнителни дейности по ремонт и надграждане.</w:t>
            </w:r>
          </w:p>
          <w:p w:rsidR="00A55C00" w:rsidRPr="00F62685" w:rsidRDefault="00A55C00"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sz w:val="20"/>
                <w:szCs w:val="20"/>
              </w:rPr>
              <w:t>От представената информация в проекта на ЗДБРБ за 2024 г. за предвидените средства по централния бюджет за 2024 г. не е видно дали са заложени такива за осигуряването на дейностите в условията на засилен миграционен натиск по държавните граници на Република България с Република Турция и Република Гърция.</w:t>
            </w:r>
          </w:p>
        </w:tc>
        <w:tc>
          <w:tcPr>
            <w:tcW w:w="574" w:type="pct"/>
            <w:shd w:val="clear" w:color="auto" w:fill="auto"/>
          </w:tcPr>
          <w:p w:rsidR="00A55C00" w:rsidRPr="00657A5B" w:rsidRDefault="00A55C00" w:rsidP="00A55C00">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Приема се по принцип</w:t>
            </w:r>
          </w:p>
        </w:tc>
        <w:tc>
          <w:tcPr>
            <w:tcW w:w="1617" w:type="pct"/>
            <w:shd w:val="clear" w:color="auto" w:fill="auto"/>
          </w:tcPr>
          <w:p w:rsidR="00EA56DA" w:rsidRPr="00F66C6D" w:rsidRDefault="00C16A5E" w:rsidP="00A55C00">
            <w:pPr>
              <w:spacing w:after="0" w:line="240" w:lineRule="auto"/>
              <w:jc w:val="both"/>
              <w:rPr>
                <w:rFonts w:ascii="Times New Roman" w:eastAsia="Calibri" w:hAnsi="Times New Roman" w:cs="Times New Roman"/>
                <w:color w:val="000000"/>
                <w:sz w:val="20"/>
                <w:szCs w:val="20"/>
              </w:rPr>
            </w:pPr>
            <w:r w:rsidRPr="00AC6CF5">
              <w:rPr>
                <w:rFonts w:ascii="Times New Roman" w:eastAsia="Times New Roman" w:hAnsi="Times New Roman" w:cs="Times New Roman"/>
                <w:sz w:val="20"/>
                <w:szCs w:val="20"/>
              </w:rPr>
              <w:t xml:space="preserve">В проекта на </w:t>
            </w:r>
            <w:r>
              <w:rPr>
                <w:rFonts w:ascii="Times New Roman" w:eastAsia="Times New Roman" w:hAnsi="Times New Roman" w:cs="Times New Roman"/>
                <w:sz w:val="20"/>
                <w:szCs w:val="20"/>
              </w:rPr>
              <w:t>ЗДБРБ</w:t>
            </w:r>
            <w:r w:rsidRPr="00AC6CF5">
              <w:rPr>
                <w:rFonts w:ascii="Times New Roman" w:eastAsia="Times New Roman" w:hAnsi="Times New Roman" w:cs="Times New Roman"/>
                <w:sz w:val="20"/>
                <w:szCs w:val="20"/>
              </w:rPr>
              <w:t xml:space="preserve"> за 2024 г. са предвидени средства </w:t>
            </w:r>
            <w:r w:rsidRPr="00F62685">
              <w:rPr>
                <w:rFonts w:ascii="Times New Roman" w:eastAsia="Times New Roman" w:hAnsi="Times New Roman" w:cs="Times New Roman"/>
                <w:sz w:val="20"/>
                <w:szCs w:val="20"/>
              </w:rPr>
              <w:t>за изпълнението на политика в област „Вътрешен ред и сигурност“ в общ размер 57 000,0 хил. лв., в т. ч. 7 000,0 хил. лв. за извънгаранционно поддържане на временното възпрепятстващо съоръжение по българо-турската граница и допълнителни дейности по ремонт и надграждане.</w:t>
            </w:r>
          </w:p>
        </w:tc>
      </w:tr>
      <w:tr w:rsidR="00A55C00" w:rsidRPr="00F62685" w:rsidTr="00E9260B">
        <w:trPr>
          <w:trHeight w:val="64"/>
        </w:trPr>
        <w:tc>
          <w:tcPr>
            <w:tcW w:w="941" w:type="pct"/>
            <w:shd w:val="clear" w:color="auto" w:fill="BDD6EE" w:themeFill="accent1" w:themeFillTint="66"/>
          </w:tcPr>
          <w:p w:rsidR="00A55C00" w:rsidRPr="00F62685" w:rsidRDefault="00A55C00" w:rsidP="00A55C00">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A55C00" w:rsidRPr="00F62685" w:rsidRDefault="00A55C00"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A55C00" w:rsidRPr="00657A5B" w:rsidRDefault="00A55C00" w:rsidP="00A55C00">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A55C00" w:rsidRPr="00F62685" w:rsidRDefault="00A55C00" w:rsidP="00A55C00">
            <w:pPr>
              <w:spacing w:after="0" w:line="240" w:lineRule="auto"/>
              <w:jc w:val="both"/>
              <w:rPr>
                <w:rFonts w:ascii="Times New Roman" w:eastAsia="Times New Roman" w:hAnsi="Times New Roman" w:cs="Times New Roman"/>
                <w:sz w:val="20"/>
                <w:szCs w:val="20"/>
              </w:rPr>
            </w:pPr>
          </w:p>
        </w:tc>
      </w:tr>
      <w:tr w:rsidR="00A55C00" w:rsidRPr="00F62685" w:rsidTr="00DE00BF">
        <w:trPr>
          <w:trHeight w:val="161"/>
        </w:trPr>
        <w:tc>
          <w:tcPr>
            <w:tcW w:w="941" w:type="pct"/>
            <w:shd w:val="clear" w:color="auto" w:fill="auto"/>
          </w:tcPr>
          <w:p w:rsidR="00A55C00" w:rsidRPr="00F62685" w:rsidRDefault="00A55C00" w:rsidP="00A55C00">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МИНИСТЕРСТВО НА ОТБРАНАТА</w:t>
            </w:r>
          </w:p>
        </w:tc>
        <w:tc>
          <w:tcPr>
            <w:tcW w:w="1868" w:type="pct"/>
            <w:shd w:val="clear" w:color="auto" w:fill="auto"/>
          </w:tcPr>
          <w:p w:rsidR="00A55C00" w:rsidRPr="00F62685" w:rsidRDefault="00A55C00"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МО, на основание чл. 32, ад. 1 от УПМСНА, съгласува със следните предложения проект на Решение на Министерския съвет за одобряване на законопроект за държавния бюджет на Република България за 2024 г.:</w:t>
            </w:r>
          </w:p>
          <w:p w:rsidR="007877BF" w:rsidRPr="007877BF" w:rsidRDefault="007877BF" w:rsidP="00097BFC">
            <w:pPr>
              <w:spacing w:after="60" w:line="240" w:lineRule="auto"/>
              <w:jc w:val="both"/>
              <w:rPr>
                <w:rFonts w:ascii="Times New Roman" w:eastAsia="Times New Roman" w:hAnsi="Times New Roman" w:cs="Times New Roman"/>
                <w:b/>
                <w:sz w:val="20"/>
                <w:szCs w:val="20"/>
              </w:rPr>
            </w:pPr>
          </w:p>
          <w:p w:rsidR="00A55C00" w:rsidRPr="00F62685" w:rsidRDefault="00A55C00"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Съгласно правилата на програмата на САЩ за чуждестранни военни продажби, ако бъде ратифициран международен договор BU-B-UCP „Придобиване на бойни машини Страйкър“, има възможност, част от средствата, които Република България ще превежда съгласно предложената в договора схема за плащане, да се депозират в сметката на Министерство на отбраната в клона на Федералната резервна банка в Ню Йорк и да се </w:t>
            </w:r>
            <w:r w:rsidRPr="00F62685">
              <w:t xml:space="preserve"> </w:t>
            </w:r>
            <w:r w:rsidRPr="00F62685">
              <w:rPr>
                <w:rFonts w:ascii="Times New Roman" w:eastAsia="Times New Roman" w:hAnsi="Times New Roman" w:cs="Times New Roman"/>
                <w:sz w:val="20"/>
                <w:szCs w:val="20"/>
              </w:rPr>
              <w:t>инвестират с цел на осигуряване на доходност от тези средства в полза на Република България.</w:t>
            </w:r>
          </w:p>
          <w:p w:rsidR="00A55C00" w:rsidRPr="00F62685" w:rsidRDefault="00A55C00"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Размерът на средствата, които биха могли да се прехвърлят по този начин, се определят от Агенцията на САЩ за сътрудничество в областта на отбраната и сигурността.</w:t>
            </w:r>
          </w:p>
          <w:p w:rsidR="00A55C00" w:rsidRPr="00F62685" w:rsidRDefault="00A55C00" w:rsidP="00097BFC">
            <w:pPr>
              <w:spacing w:after="60" w:line="240" w:lineRule="auto"/>
              <w:jc w:val="both"/>
              <w:rPr>
                <w:rFonts w:ascii="Times New Roman" w:eastAsia="Times New Roman" w:hAnsi="Times New Roman" w:cs="Times New Roman"/>
                <w:sz w:val="20"/>
                <w:szCs w:val="20"/>
              </w:rPr>
            </w:pPr>
          </w:p>
          <w:p w:rsidR="00A55C00" w:rsidRPr="00F62685" w:rsidRDefault="00A55C00"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Във връзка с гореизложеното предлагам в чл. 11 д</w:t>
            </w:r>
            <w:r w:rsidR="00453321">
              <w:rPr>
                <w:rFonts w:ascii="Times New Roman" w:eastAsia="Times New Roman" w:hAnsi="Times New Roman" w:cs="Times New Roman"/>
                <w:sz w:val="20"/>
                <w:szCs w:val="20"/>
              </w:rPr>
              <w:t>а</w:t>
            </w:r>
            <w:r w:rsidRPr="00F62685">
              <w:rPr>
                <w:rFonts w:ascii="Times New Roman" w:eastAsia="Times New Roman" w:hAnsi="Times New Roman" w:cs="Times New Roman"/>
                <w:sz w:val="20"/>
                <w:szCs w:val="20"/>
              </w:rPr>
              <w:t xml:space="preserve"> се добавят нови алинеи със следните текстове :</w:t>
            </w:r>
          </w:p>
          <w:p w:rsidR="00A55C00" w:rsidRPr="00F62685" w:rsidRDefault="00A55C00"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„(7) Предвидените плащания през 2024 г. от Министерство на</w:t>
            </w:r>
          </w:p>
          <w:p w:rsidR="00A55C00" w:rsidRPr="00F62685" w:rsidRDefault="00A55C00"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отбраната по сметка на правителството на Съединените американски щати за изпълнение на международния договор BU-B-UCP „Придобиване на бойни машини </w:t>
            </w:r>
            <w:proofErr w:type="spellStart"/>
            <w:r w:rsidRPr="00F62685">
              <w:rPr>
                <w:rFonts w:ascii="Times New Roman" w:eastAsia="Times New Roman" w:hAnsi="Times New Roman" w:cs="Times New Roman"/>
                <w:sz w:val="20"/>
                <w:szCs w:val="20"/>
              </w:rPr>
              <w:t>Страйкьр</w:t>
            </w:r>
            <w:proofErr w:type="spellEnd"/>
            <w:r w:rsidRPr="00F62685">
              <w:rPr>
                <w:rFonts w:ascii="Times New Roman" w:eastAsia="Times New Roman" w:hAnsi="Times New Roman" w:cs="Times New Roman"/>
                <w:sz w:val="20"/>
                <w:szCs w:val="20"/>
              </w:rPr>
              <w:t xml:space="preserve">“ могат да се депозират и инвестират чрез сметката на Министерството на отбраната във Федералната резервна банка на Ню Йорк, при условията на Споразумение за сметка между Федералната резервна банка на Ню Йорк и Министерството на отбраната на Република България и на Споразумение относно определени </w:t>
            </w:r>
            <w:r w:rsidRPr="00F62685">
              <w:rPr>
                <w:rFonts w:ascii="Times New Roman" w:eastAsia="Times New Roman" w:hAnsi="Times New Roman" w:cs="Times New Roman"/>
                <w:sz w:val="20"/>
                <w:szCs w:val="20"/>
              </w:rPr>
              <w:lastRenderedPageBreak/>
              <w:t>сметки, свързани с финансиране на чуждестранни военни продажби от правителството на Република България, сключено между Министерството на отбраната, Федералната резервна банка на Ню Йорк и Агенцията на Департамента по отбрана на САЩ за сътрудничество в областта на сигурността, ратифицирани със закон, обнародван в ДВ, бр. 96, от 02.12.2022г.</w:t>
            </w:r>
          </w:p>
          <w:p w:rsidR="007877BF" w:rsidRPr="00F62685" w:rsidRDefault="00A55C00"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(8) Превеждането на средствата за изпълнението на международния договор BU-B-UCP „Придобиване на бойни машини </w:t>
            </w:r>
            <w:proofErr w:type="spellStart"/>
            <w:r w:rsidRPr="00F62685">
              <w:rPr>
                <w:rFonts w:ascii="Times New Roman" w:eastAsia="Times New Roman" w:hAnsi="Times New Roman" w:cs="Times New Roman"/>
                <w:sz w:val="20"/>
                <w:szCs w:val="20"/>
              </w:rPr>
              <w:t>Страйкьр</w:t>
            </w:r>
            <w:proofErr w:type="spellEnd"/>
            <w:r w:rsidRPr="00F62685">
              <w:rPr>
                <w:rFonts w:ascii="Times New Roman" w:eastAsia="Times New Roman" w:hAnsi="Times New Roman" w:cs="Times New Roman"/>
                <w:sz w:val="20"/>
                <w:szCs w:val="20"/>
              </w:rPr>
              <w:t>“ и произтичащите от управлението и инвестирането на средствата по ал, 7 нетни постъпления от лихви, друга доходност, такси и комисиони, както и прехвърлянето по банкова бюджетна сметка на Министерство на отбраната в Българската народна банка на неусвоените средства по ал. 7, включително прехвърлянето на средствата от лихви и друга доходност, се отразяват като приходи и разходи по бюджета на Министерство на отбраната по реда, предвиден за отчитане по бюджетите на бюджетните организации на постъпления и плащания, произтичащи от операции, извършени чрез акредитивни и други подобни сметки.“</w:t>
            </w:r>
          </w:p>
        </w:tc>
        <w:tc>
          <w:tcPr>
            <w:tcW w:w="574" w:type="pct"/>
            <w:shd w:val="clear" w:color="auto" w:fill="auto"/>
          </w:tcPr>
          <w:p w:rsidR="00A55C00" w:rsidRPr="00657A5B" w:rsidRDefault="005C4991" w:rsidP="00AE1C9C">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 xml:space="preserve">Приема се по принцип </w:t>
            </w:r>
          </w:p>
        </w:tc>
        <w:tc>
          <w:tcPr>
            <w:tcW w:w="1617" w:type="pct"/>
            <w:shd w:val="clear" w:color="auto" w:fill="auto"/>
          </w:tcPr>
          <w:p w:rsidR="00AE1C9C" w:rsidRPr="00AE1C9C" w:rsidRDefault="00AE1C9C" w:rsidP="00AE1C9C">
            <w:pPr>
              <w:spacing w:after="0" w:line="240" w:lineRule="auto"/>
              <w:jc w:val="both"/>
              <w:rPr>
                <w:rFonts w:ascii="Times New Roman" w:eastAsia="Times New Roman" w:hAnsi="Times New Roman" w:cs="Times New Roman"/>
                <w:sz w:val="20"/>
                <w:szCs w:val="20"/>
              </w:rPr>
            </w:pPr>
            <w:r w:rsidRPr="00AE1C9C">
              <w:rPr>
                <w:rFonts w:ascii="Times New Roman" w:eastAsia="Times New Roman" w:hAnsi="Times New Roman" w:cs="Times New Roman"/>
                <w:sz w:val="20"/>
                <w:szCs w:val="20"/>
              </w:rPr>
              <w:t xml:space="preserve">Предлага се следната редакция </w:t>
            </w:r>
            <w:r w:rsidRPr="00AE1C9C">
              <w:rPr>
                <w:rFonts w:ascii="Times New Roman" w:eastAsia="Times New Roman" w:hAnsi="Times New Roman" w:cs="Times New Roman"/>
                <w:b/>
                <w:sz w:val="20"/>
                <w:szCs w:val="20"/>
              </w:rPr>
              <w:t xml:space="preserve"> </w:t>
            </w:r>
            <w:r w:rsidRPr="00AE1C9C">
              <w:rPr>
                <w:rFonts w:ascii="Times New Roman" w:eastAsia="Times New Roman" w:hAnsi="Times New Roman" w:cs="Times New Roman"/>
                <w:sz w:val="20"/>
                <w:szCs w:val="20"/>
              </w:rPr>
              <w:t>на ал. 5, нова ал. 6 и досегашна ал. 6 става ал. 7 с редакция:</w:t>
            </w:r>
          </w:p>
          <w:p w:rsidR="005C4991" w:rsidRPr="00AE1C9C" w:rsidRDefault="005C4991" w:rsidP="00A55C00">
            <w:pPr>
              <w:spacing w:after="0" w:line="240" w:lineRule="auto"/>
              <w:jc w:val="both"/>
              <w:rPr>
                <w:rFonts w:ascii="Times New Roman" w:eastAsia="Times New Roman" w:hAnsi="Times New Roman" w:cs="Times New Roman"/>
                <w:b/>
                <w:sz w:val="20"/>
                <w:szCs w:val="20"/>
              </w:rPr>
            </w:pPr>
          </w:p>
          <w:p w:rsidR="005C4991" w:rsidRPr="00AE1C9C" w:rsidRDefault="005C4991" w:rsidP="005C4991">
            <w:pPr>
              <w:spacing w:after="0" w:line="240" w:lineRule="auto"/>
              <w:jc w:val="both"/>
              <w:rPr>
                <w:rFonts w:ascii="Times New Roman" w:eastAsia="Times New Roman" w:hAnsi="Times New Roman" w:cs="Times New Roman"/>
                <w:sz w:val="20"/>
                <w:szCs w:val="20"/>
              </w:rPr>
            </w:pPr>
            <w:r w:rsidRPr="00AE1C9C">
              <w:rPr>
                <w:rFonts w:ascii="Times New Roman" w:eastAsia="Times New Roman" w:hAnsi="Times New Roman" w:cs="Times New Roman"/>
                <w:sz w:val="20"/>
                <w:szCs w:val="20"/>
              </w:rPr>
              <w:t>(5) Преведени през 2019 г. от Министерството на отбраната по сметка на правителството на Съединените американски щати средства за изпълнение на международните договори във връзка с придобиването на нов тип боен самолет (ратифицирани със закон - ДВ, бр. 60 от 2019 г.), могат да се депозират и инвестират чрез сметки във Федералната резервна банка на Ню Йорк в полза на Министерството на отбраната при условията на Споразумение за сметка между Федералната резервна банка на Ню Йорк и Министерството на отбраната на Република България и на Споразумение относно определени сметки, свързани с финансиране на чуждестранни военни продажби от правителството на Република България, сключено между Министерството на отбраната, Федералната резервна банка на Ню Йорк и Агенцията на Департамента по отбрана на САЩ за сътрудничество в областта на сигурността, ратифицирани със закон, обнародван в ДВ, бр. 96, от 02.12.2022 г.</w:t>
            </w:r>
          </w:p>
          <w:p w:rsidR="005C4991" w:rsidRPr="00AE1C9C" w:rsidRDefault="005C4991" w:rsidP="005C4991">
            <w:pPr>
              <w:spacing w:after="0" w:line="240" w:lineRule="auto"/>
              <w:jc w:val="both"/>
              <w:rPr>
                <w:rFonts w:ascii="Times New Roman" w:eastAsia="Times New Roman" w:hAnsi="Times New Roman" w:cs="Times New Roman"/>
                <w:sz w:val="20"/>
                <w:szCs w:val="20"/>
              </w:rPr>
            </w:pPr>
          </w:p>
          <w:p w:rsidR="005C4991" w:rsidRPr="00AE1C9C" w:rsidRDefault="005C4991" w:rsidP="005C4991">
            <w:pPr>
              <w:spacing w:after="0" w:line="240" w:lineRule="auto"/>
              <w:jc w:val="both"/>
              <w:rPr>
                <w:rFonts w:ascii="Times New Roman" w:eastAsia="Times New Roman" w:hAnsi="Times New Roman" w:cs="Times New Roman"/>
                <w:sz w:val="20"/>
                <w:szCs w:val="20"/>
              </w:rPr>
            </w:pPr>
            <w:r w:rsidRPr="00AE1C9C">
              <w:rPr>
                <w:rFonts w:ascii="Times New Roman" w:eastAsia="Times New Roman" w:hAnsi="Times New Roman" w:cs="Times New Roman"/>
                <w:sz w:val="20"/>
                <w:szCs w:val="20"/>
              </w:rPr>
              <w:t>Нова (6) По реда на ал. 5 могат</w:t>
            </w:r>
            <w:r w:rsidR="00246CE1" w:rsidRPr="00AE1C9C">
              <w:rPr>
                <w:rFonts w:ascii="Times New Roman" w:eastAsia="Times New Roman" w:hAnsi="Times New Roman" w:cs="Times New Roman"/>
                <w:sz w:val="20"/>
                <w:szCs w:val="20"/>
              </w:rPr>
              <w:t xml:space="preserve"> да се депозират и инвестират </w:t>
            </w:r>
            <w:r w:rsidRPr="00AE1C9C">
              <w:rPr>
                <w:rFonts w:ascii="Times New Roman" w:eastAsia="Times New Roman" w:hAnsi="Times New Roman" w:cs="Times New Roman"/>
                <w:sz w:val="20"/>
                <w:szCs w:val="20"/>
              </w:rPr>
              <w:t xml:space="preserve">предвидените плащания от Министерство на отбраната по сметка на правителството на Съединените американски щати за изпълнение на международния договор BU-B-UCP „Придобиване на бойни машини </w:t>
            </w:r>
            <w:proofErr w:type="spellStart"/>
            <w:r w:rsidRPr="00AE1C9C">
              <w:rPr>
                <w:rFonts w:ascii="Times New Roman" w:eastAsia="Times New Roman" w:hAnsi="Times New Roman" w:cs="Times New Roman"/>
                <w:sz w:val="20"/>
                <w:szCs w:val="20"/>
              </w:rPr>
              <w:t>Страйкьр</w:t>
            </w:r>
            <w:proofErr w:type="spellEnd"/>
            <w:r w:rsidRPr="00AE1C9C">
              <w:rPr>
                <w:rFonts w:ascii="Times New Roman" w:eastAsia="Times New Roman" w:hAnsi="Times New Roman" w:cs="Times New Roman"/>
                <w:sz w:val="20"/>
                <w:szCs w:val="20"/>
              </w:rPr>
              <w:t>“</w:t>
            </w:r>
          </w:p>
          <w:p w:rsidR="005C4991" w:rsidRPr="00AE1C9C" w:rsidRDefault="005C4991" w:rsidP="005C4991">
            <w:pPr>
              <w:spacing w:after="0" w:line="240" w:lineRule="auto"/>
              <w:jc w:val="both"/>
              <w:rPr>
                <w:rFonts w:ascii="Times New Roman" w:eastAsia="Times New Roman" w:hAnsi="Times New Roman" w:cs="Times New Roman"/>
                <w:sz w:val="20"/>
                <w:szCs w:val="20"/>
              </w:rPr>
            </w:pPr>
          </w:p>
          <w:p w:rsidR="005C4991" w:rsidRPr="00AE1C9C" w:rsidRDefault="005C4991" w:rsidP="005C4991">
            <w:pPr>
              <w:spacing w:after="0" w:line="240" w:lineRule="auto"/>
              <w:jc w:val="both"/>
              <w:rPr>
                <w:rFonts w:ascii="Times New Roman" w:eastAsia="Times New Roman" w:hAnsi="Times New Roman" w:cs="Times New Roman"/>
                <w:sz w:val="20"/>
                <w:szCs w:val="20"/>
              </w:rPr>
            </w:pPr>
            <w:r w:rsidRPr="00AE1C9C">
              <w:rPr>
                <w:rFonts w:ascii="Times New Roman" w:eastAsia="Times New Roman" w:hAnsi="Times New Roman" w:cs="Times New Roman"/>
                <w:sz w:val="20"/>
                <w:szCs w:val="20"/>
              </w:rPr>
              <w:t>Досегашната ал. 6 става ал. 7 със следното съдържание:</w:t>
            </w:r>
          </w:p>
          <w:p w:rsidR="005C4991" w:rsidRPr="00AE1C9C" w:rsidRDefault="005C4991" w:rsidP="00EB7A5A">
            <w:pPr>
              <w:spacing w:after="0" w:line="240" w:lineRule="auto"/>
              <w:jc w:val="both"/>
              <w:rPr>
                <w:rFonts w:ascii="Times New Roman" w:eastAsia="Times New Roman" w:hAnsi="Times New Roman" w:cs="Times New Roman"/>
                <w:sz w:val="20"/>
                <w:szCs w:val="20"/>
              </w:rPr>
            </w:pPr>
            <w:r w:rsidRPr="00AE1C9C">
              <w:rPr>
                <w:rFonts w:ascii="Times New Roman" w:eastAsia="Times New Roman" w:hAnsi="Times New Roman" w:cs="Times New Roman"/>
                <w:sz w:val="20"/>
                <w:szCs w:val="20"/>
              </w:rPr>
              <w:lastRenderedPageBreak/>
              <w:t xml:space="preserve">(7) Превеждането на средствата за изпълнението на международните договори във връзка с придобиването на нов тип боен самолет и на бойни машини </w:t>
            </w:r>
            <w:proofErr w:type="spellStart"/>
            <w:r w:rsidRPr="00AE1C9C">
              <w:rPr>
                <w:rFonts w:ascii="Times New Roman" w:eastAsia="Times New Roman" w:hAnsi="Times New Roman" w:cs="Times New Roman"/>
                <w:sz w:val="20"/>
                <w:szCs w:val="20"/>
              </w:rPr>
              <w:t>Страйкьр</w:t>
            </w:r>
            <w:proofErr w:type="spellEnd"/>
            <w:r w:rsidRPr="00AE1C9C">
              <w:rPr>
                <w:rFonts w:ascii="Times New Roman" w:eastAsia="Times New Roman" w:hAnsi="Times New Roman" w:cs="Times New Roman"/>
                <w:sz w:val="20"/>
                <w:szCs w:val="20"/>
              </w:rPr>
              <w:t xml:space="preserve"> и произтичащите от управлението и инвестирането на средствата по ал. 5 и 6 нетни постъпления от лихви, друга доходност, такси и комисиони, както и прехвърлянето по банкова бюджетна сметка на Министерството на отбраната в Българската народна банка на неусвоени средства по ал. 5 и 6, включително прехвърлянето на средствата от лихви и друга доходност, се отразяват като приходи и разходи по бюджета на Министерството на отбраната по реда, предвиден за отчитане по бюджетите на бюджетните организации на постъпления и плащания, произтичащи от операции, извършени чрез акредитивни и други подобни сметки.</w:t>
            </w:r>
          </w:p>
        </w:tc>
      </w:tr>
      <w:tr w:rsidR="00A55C00" w:rsidRPr="00F62685" w:rsidTr="00F33986">
        <w:trPr>
          <w:trHeight w:val="161"/>
        </w:trPr>
        <w:tc>
          <w:tcPr>
            <w:tcW w:w="941" w:type="pct"/>
            <w:shd w:val="clear" w:color="auto" w:fill="BDD6EE" w:themeFill="accent1" w:themeFillTint="66"/>
          </w:tcPr>
          <w:p w:rsidR="00A55C00" w:rsidRPr="00F62685" w:rsidRDefault="00A55C00" w:rsidP="00A55C00">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A55C00" w:rsidRPr="00F62685" w:rsidRDefault="00A55C00" w:rsidP="00097BFC">
            <w:pPr>
              <w:spacing w:after="60" w:line="240" w:lineRule="auto"/>
              <w:jc w:val="both"/>
              <w:rPr>
                <w:rFonts w:ascii="Times New Roman" w:eastAsia="Times New Roman" w:hAnsi="Times New Roman" w:cs="Times New Roman"/>
                <w:b/>
                <w:sz w:val="20"/>
                <w:szCs w:val="20"/>
              </w:rPr>
            </w:pPr>
          </w:p>
        </w:tc>
        <w:tc>
          <w:tcPr>
            <w:tcW w:w="574" w:type="pct"/>
            <w:shd w:val="clear" w:color="auto" w:fill="BDD6EE" w:themeFill="accent1" w:themeFillTint="66"/>
          </w:tcPr>
          <w:p w:rsidR="00A55C00" w:rsidRPr="00657A5B" w:rsidRDefault="00A55C00" w:rsidP="00A55C00">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A55C00" w:rsidRPr="00F62685" w:rsidRDefault="00A55C00" w:rsidP="00A55C00">
            <w:pPr>
              <w:spacing w:after="0" w:line="240" w:lineRule="auto"/>
              <w:jc w:val="both"/>
              <w:rPr>
                <w:rFonts w:ascii="Times New Roman" w:eastAsia="Times New Roman" w:hAnsi="Times New Roman" w:cs="Times New Roman"/>
                <w:b/>
                <w:sz w:val="20"/>
                <w:szCs w:val="20"/>
              </w:rPr>
            </w:pPr>
          </w:p>
        </w:tc>
      </w:tr>
      <w:tr w:rsidR="00A55C00" w:rsidRPr="00F62685" w:rsidTr="00DE00BF">
        <w:trPr>
          <w:trHeight w:val="161"/>
        </w:trPr>
        <w:tc>
          <w:tcPr>
            <w:tcW w:w="941" w:type="pct"/>
            <w:shd w:val="clear" w:color="auto" w:fill="auto"/>
          </w:tcPr>
          <w:p w:rsidR="00A55C00" w:rsidRPr="00F62685" w:rsidRDefault="00A55C00" w:rsidP="00A55C00">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МИНИСТЕРСТВО НА ФИНАНСИТЕ</w:t>
            </w:r>
          </w:p>
        </w:tc>
        <w:tc>
          <w:tcPr>
            <w:tcW w:w="1868" w:type="pct"/>
            <w:shd w:val="clear" w:color="auto" w:fill="auto"/>
          </w:tcPr>
          <w:p w:rsidR="00A55C00" w:rsidRPr="00F62685" w:rsidRDefault="00A55C00"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МФ съгласува проекта на Решение на Министерския съвет за одобряване на законопроект за държавния бюджет на Република България за 2024 г. и материалите към него със следната бележка:</w:t>
            </w:r>
          </w:p>
          <w:p w:rsidR="00A55C00" w:rsidRPr="00F62685" w:rsidRDefault="00A55C00"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В законопроекта за държавния бюджет на Република България за 2024 г. сумата по чл. 9, ал. 3, т. 1, показател „Максимален размер на ангажиментите за разходи, които могат да бъдат поети през 2024 г.“ следва да бъде в размер на 226 966 хил. лв.</w:t>
            </w:r>
          </w:p>
        </w:tc>
        <w:tc>
          <w:tcPr>
            <w:tcW w:w="574" w:type="pct"/>
            <w:shd w:val="clear" w:color="auto" w:fill="auto"/>
          </w:tcPr>
          <w:p w:rsidR="00A55C00" w:rsidRPr="00657A5B" w:rsidRDefault="00A55C00" w:rsidP="00A55C00">
            <w:pPr>
              <w:spacing w:after="0" w:line="240" w:lineRule="auto"/>
              <w:jc w:val="center"/>
              <w:rPr>
                <w:rFonts w:ascii="Times New Roman" w:eastAsia="Times New Roman" w:hAnsi="Times New Roman" w:cs="Times New Roman"/>
                <w:b/>
                <w:sz w:val="20"/>
                <w:szCs w:val="20"/>
              </w:rPr>
            </w:pPr>
          </w:p>
          <w:p w:rsidR="00A55C00" w:rsidRPr="00657A5B" w:rsidRDefault="00A55C00" w:rsidP="00A55C00">
            <w:pPr>
              <w:spacing w:after="0" w:line="240" w:lineRule="auto"/>
              <w:jc w:val="center"/>
              <w:rPr>
                <w:rFonts w:ascii="Times New Roman" w:eastAsia="Times New Roman" w:hAnsi="Times New Roman" w:cs="Times New Roman"/>
                <w:b/>
                <w:sz w:val="20"/>
                <w:szCs w:val="20"/>
              </w:rPr>
            </w:pPr>
          </w:p>
          <w:p w:rsidR="00A55C00" w:rsidRPr="00657A5B" w:rsidRDefault="00A55C00" w:rsidP="00A55C00">
            <w:pPr>
              <w:spacing w:after="0" w:line="240" w:lineRule="auto"/>
              <w:jc w:val="center"/>
              <w:rPr>
                <w:rFonts w:ascii="Times New Roman" w:eastAsia="Times New Roman" w:hAnsi="Times New Roman" w:cs="Times New Roman"/>
                <w:b/>
                <w:sz w:val="20"/>
                <w:szCs w:val="20"/>
              </w:rPr>
            </w:pPr>
          </w:p>
          <w:p w:rsidR="00A55C00" w:rsidRPr="00657A5B" w:rsidRDefault="00A55C00" w:rsidP="00A55C00">
            <w:pPr>
              <w:spacing w:after="0" w:line="240" w:lineRule="auto"/>
              <w:jc w:val="center"/>
              <w:rPr>
                <w:rFonts w:ascii="Times New Roman" w:eastAsia="Times New Roman" w:hAnsi="Times New Roman" w:cs="Times New Roman"/>
                <w:b/>
                <w:sz w:val="20"/>
                <w:szCs w:val="20"/>
              </w:rPr>
            </w:pPr>
          </w:p>
          <w:p w:rsidR="00A55C00" w:rsidRPr="00657A5B" w:rsidRDefault="00A55C00" w:rsidP="00A55C00">
            <w:pPr>
              <w:spacing w:after="0" w:line="240" w:lineRule="auto"/>
              <w:jc w:val="center"/>
              <w:rPr>
                <w:rFonts w:ascii="Times New Roman" w:eastAsia="Times New Roman" w:hAnsi="Times New Roman" w:cs="Times New Roman"/>
                <w:b/>
                <w:sz w:val="20"/>
                <w:szCs w:val="20"/>
              </w:rPr>
            </w:pPr>
          </w:p>
          <w:p w:rsidR="00A55C00" w:rsidRPr="00657A5B" w:rsidRDefault="00A55C00" w:rsidP="00A55C00">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Приема се</w:t>
            </w:r>
          </w:p>
        </w:tc>
        <w:tc>
          <w:tcPr>
            <w:tcW w:w="1617" w:type="pct"/>
            <w:shd w:val="clear" w:color="auto" w:fill="auto"/>
          </w:tcPr>
          <w:p w:rsidR="00A55C00" w:rsidRDefault="00A55C00" w:rsidP="00A55C00">
            <w:pPr>
              <w:spacing w:after="0" w:line="240" w:lineRule="auto"/>
              <w:jc w:val="both"/>
              <w:rPr>
                <w:rFonts w:ascii="Times New Roman" w:eastAsia="Times New Roman" w:hAnsi="Times New Roman" w:cs="Times New Roman"/>
                <w:sz w:val="20"/>
                <w:szCs w:val="20"/>
              </w:rPr>
            </w:pPr>
          </w:p>
          <w:p w:rsidR="00A55C00" w:rsidRDefault="00A55C00" w:rsidP="00A55C00">
            <w:pPr>
              <w:spacing w:after="0" w:line="240" w:lineRule="auto"/>
              <w:jc w:val="both"/>
              <w:rPr>
                <w:rFonts w:ascii="Times New Roman" w:eastAsia="Times New Roman" w:hAnsi="Times New Roman" w:cs="Times New Roman"/>
                <w:sz w:val="20"/>
                <w:szCs w:val="20"/>
              </w:rPr>
            </w:pPr>
          </w:p>
          <w:p w:rsidR="00A55C00" w:rsidRDefault="00A55C00" w:rsidP="00A55C00">
            <w:pPr>
              <w:spacing w:after="0" w:line="240" w:lineRule="auto"/>
              <w:jc w:val="both"/>
              <w:rPr>
                <w:rFonts w:ascii="Times New Roman" w:eastAsia="Times New Roman" w:hAnsi="Times New Roman" w:cs="Times New Roman"/>
                <w:sz w:val="20"/>
                <w:szCs w:val="20"/>
              </w:rPr>
            </w:pPr>
          </w:p>
          <w:p w:rsidR="00A55C00" w:rsidRDefault="00A55C00" w:rsidP="00A55C00">
            <w:pPr>
              <w:spacing w:after="0" w:line="240" w:lineRule="auto"/>
              <w:jc w:val="both"/>
              <w:rPr>
                <w:rFonts w:ascii="Times New Roman" w:eastAsia="Times New Roman" w:hAnsi="Times New Roman" w:cs="Times New Roman"/>
                <w:sz w:val="20"/>
                <w:szCs w:val="20"/>
              </w:rPr>
            </w:pPr>
          </w:p>
          <w:p w:rsidR="00A55C00" w:rsidRDefault="00A55C00" w:rsidP="00A55C00">
            <w:pPr>
              <w:spacing w:after="0" w:line="240" w:lineRule="auto"/>
              <w:jc w:val="both"/>
              <w:rPr>
                <w:rFonts w:ascii="Times New Roman" w:eastAsia="Times New Roman" w:hAnsi="Times New Roman" w:cs="Times New Roman"/>
                <w:sz w:val="20"/>
                <w:szCs w:val="20"/>
              </w:rPr>
            </w:pPr>
          </w:p>
          <w:p w:rsidR="00A55C00" w:rsidRDefault="00A55C00" w:rsidP="00A55C0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Отразено е в проекта на Закон за държавния бюджет на Република България за 2024 г. в чл. 9, ал. 3, т. 1.</w:t>
            </w:r>
          </w:p>
          <w:p w:rsidR="00A55C00" w:rsidRDefault="00A55C00" w:rsidP="00A55C00">
            <w:pPr>
              <w:spacing w:after="0" w:line="240" w:lineRule="auto"/>
              <w:jc w:val="both"/>
              <w:rPr>
                <w:rFonts w:ascii="Times New Roman" w:eastAsia="Times New Roman" w:hAnsi="Times New Roman" w:cs="Times New Roman"/>
                <w:sz w:val="20"/>
                <w:szCs w:val="20"/>
              </w:rPr>
            </w:pPr>
          </w:p>
          <w:p w:rsidR="00A55C00" w:rsidRPr="0044086A" w:rsidRDefault="00A55C00" w:rsidP="00A55C00">
            <w:pPr>
              <w:spacing w:after="0" w:line="240" w:lineRule="auto"/>
              <w:jc w:val="both"/>
              <w:rPr>
                <w:rFonts w:ascii="Times New Roman" w:eastAsia="Times New Roman" w:hAnsi="Times New Roman" w:cs="Times New Roman"/>
                <w:sz w:val="20"/>
                <w:szCs w:val="20"/>
              </w:rPr>
            </w:pPr>
          </w:p>
        </w:tc>
      </w:tr>
      <w:tr w:rsidR="00A55C00" w:rsidRPr="00F62685" w:rsidTr="00E9260B">
        <w:trPr>
          <w:trHeight w:val="161"/>
        </w:trPr>
        <w:tc>
          <w:tcPr>
            <w:tcW w:w="941" w:type="pct"/>
            <w:shd w:val="clear" w:color="auto" w:fill="BDD6EE" w:themeFill="accent1" w:themeFillTint="66"/>
          </w:tcPr>
          <w:p w:rsidR="00A55C00" w:rsidRPr="00F62685" w:rsidRDefault="00A55C00" w:rsidP="00A55C00">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A55C00" w:rsidRPr="00F62685" w:rsidRDefault="00A55C00"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A55C00" w:rsidRPr="00657A5B" w:rsidRDefault="00A55C00" w:rsidP="00A55C00">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A55C00" w:rsidRPr="00F62685" w:rsidRDefault="00A55C00" w:rsidP="00A55C00">
            <w:pPr>
              <w:spacing w:after="0" w:line="240" w:lineRule="auto"/>
              <w:jc w:val="both"/>
              <w:rPr>
                <w:rFonts w:ascii="Times New Roman" w:eastAsia="Times New Roman" w:hAnsi="Times New Roman" w:cs="Times New Roman"/>
                <w:b/>
                <w:sz w:val="20"/>
                <w:szCs w:val="20"/>
              </w:rPr>
            </w:pPr>
          </w:p>
        </w:tc>
      </w:tr>
      <w:tr w:rsidR="00A55C00" w:rsidRPr="00F62685" w:rsidTr="00DE00BF">
        <w:trPr>
          <w:trHeight w:val="161"/>
        </w:trPr>
        <w:tc>
          <w:tcPr>
            <w:tcW w:w="941" w:type="pct"/>
            <w:shd w:val="clear" w:color="auto" w:fill="auto"/>
          </w:tcPr>
          <w:p w:rsidR="00A55C00" w:rsidRPr="00F62685" w:rsidRDefault="00A55C00" w:rsidP="00A55C00">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МИНИСТЕРСТВО НА ПРАВОСЪДИЕТО</w:t>
            </w:r>
          </w:p>
        </w:tc>
        <w:tc>
          <w:tcPr>
            <w:tcW w:w="1868" w:type="pct"/>
            <w:shd w:val="clear" w:color="auto" w:fill="auto"/>
          </w:tcPr>
          <w:p w:rsidR="00A55C00" w:rsidRPr="00F62685" w:rsidRDefault="00A55C00" w:rsidP="00097BFC">
            <w:pPr>
              <w:spacing w:before="120" w:after="60" w:line="240" w:lineRule="auto"/>
              <w:jc w:val="center"/>
              <w:rPr>
                <w:rFonts w:ascii="Times New Roman" w:eastAsia="Times New Roman" w:hAnsi="Times New Roman" w:cs="Times New Roman"/>
                <w:b/>
                <w:sz w:val="20"/>
                <w:szCs w:val="20"/>
                <w:u w:val="single"/>
              </w:rPr>
            </w:pPr>
            <w:r w:rsidRPr="00F62685">
              <w:rPr>
                <w:rFonts w:ascii="Times New Roman" w:eastAsia="Times New Roman" w:hAnsi="Times New Roman" w:cs="Times New Roman"/>
                <w:b/>
                <w:sz w:val="20"/>
                <w:szCs w:val="20"/>
                <w:u w:val="single"/>
              </w:rPr>
              <w:t>СЪГЛАСУВА БЕЗ БЕЛЕЖКИ</w:t>
            </w:r>
          </w:p>
        </w:tc>
        <w:tc>
          <w:tcPr>
            <w:tcW w:w="574" w:type="pct"/>
            <w:shd w:val="clear" w:color="auto" w:fill="auto"/>
          </w:tcPr>
          <w:p w:rsidR="00A55C00" w:rsidRPr="00657A5B" w:rsidRDefault="00A55C00" w:rsidP="00A55C00">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A55C00" w:rsidRPr="00F62685" w:rsidRDefault="00A55C00" w:rsidP="00A55C00">
            <w:pPr>
              <w:spacing w:after="0" w:line="240" w:lineRule="auto"/>
              <w:jc w:val="both"/>
              <w:rPr>
                <w:rFonts w:ascii="Times New Roman" w:eastAsia="Times New Roman" w:hAnsi="Times New Roman" w:cs="Times New Roman"/>
                <w:sz w:val="20"/>
                <w:szCs w:val="20"/>
              </w:rPr>
            </w:pPr>
          </w:p>
        </w:tc>
      </w:tr>
      <w:tr w:rsidR="00A55C00" w:rsidRPr="00F62685" w:rsidTr="00E9260B">
        <w:trPr>
          <w:trHeight w:val="64"/>
        </w:trPr>
        <w:tc>
          <w:tcPr>
            <w:tcW w:w="941" w:type="pct"/>
            <w:shd w:val="clear" w:color="auto" w:fill="BDD6EE" w:themeFill="accent1" w:themeFillTint="66"/>
          </w:tcPr>
          <w:p w:rsidR="00A55C00" w:rsidRPr="00F62685" w:rsidRDefault="00A55C00" w:rsidP="00A55C00">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A55C00" w:rsidRPr="00F62685" w:rsidRDefault="00A55C00"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A55C00" w:rsidRPr="00657A5B" w:rsidRDefault="00A55C00" w:rsidP="00A55C00">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A55C00" w:rsidRPr="00F62685" w:rsidRDefault="00A55C00" w:rsidP="00A55C00">
            <w:pPr>
              <w:spacing w:after="0" w:line="240" w:lineRule="auto"/>
              <w:jc w:val="both"/>
              <w:rPr>
                <w:rFonts w:ascii="Times New Roman" w:eastAsia="Times New Roman" w:hAnsi="Times New Roman" w:cs="Times New Roman"/>
                <w:sz w:val="20"/>
                <w:szCs w:val="20"/>
              </w:rPr>
            </w:pPr>
          </w:p>
        </w:tc>
      </w:tr>
      <w:tr w:rsidR="00A55C00" w:rsidRPr="00F62685" w:rsidTr="00DE00BF">
        <w:trPr>
          <w:trHeight w:val="161"/>
        </w:trPr>
        <w:tc>
          <w:tcPr>
            <w:tcW w:w="941" w:type="pct"/>
            <w:shd w:val="clear" w:color="auto" w:fill="auto"/>
          </w:tcPr>
          <w:p w:rsidR="00A55C00" w:rsidRPr="00F62685" w:rsidRDefault="00A55C00" w:rsidP="00A55C00">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МИНИСТЕРСТВО НА ТРУДА И СОЦИАЛНАТА ПОЛИТИКА</w:t>
            </w:r>
          </w:p>
        </w:tc>
        <w:tc>
          <w:tcPr>
            <w:tcW w:w="1868" w:type="pct"/>
            <w:shd w:val="clear" w:color="auto" w:fill="auto"/>
          </w:tcPr>
          <w:p w:rsidR="00A55C00" w:rsidRPr="00F62685" w:rsidRDefault="00A55C00" w:rsidP="00097BFC">
            <w:pPr>
              <w:spacing w:before="120" w:after="60" w:line="240" w:lineRule="auto"/>
              <w:jc w:val="center"/>
              <w:rPr>
                <w:rFonts w:ascii="Times New Roman" w:eastAsia="Times New Roman" w:hAnsi="Times New Roman" w:cs="Times New Roman"/>
                <w:b/>
                <w:sz w:val="20"/>
                <w:szCs w:val="20"/>
                <w:u w:val="single"/>
              </w:rPr>
            </w:pPr>
            <w:r w:rsidRPr="00F62685">
              <w:rPr>
                <w:rFonts w:ascii="Times New Roman" w:eastAsia="Times New Roman" w:hAnsi="Times New Roman" w:cs="Times New Roman"/>
                <w:b/>
                <w:sz w:val="20"/>
                <w:szCs w:val="20"/>
                <w:u w:val="single"/>
              </w:rPr>
              <w:t>СЪГЛАСУВА БЕЗ БЕЛЕЖКИ</w:t>
            </w:r>
          </w:p>
        </w:tc>
        <w:tc>
          <w:tcPr>
            <w:tcW w:w="574" w:type="pct"/>
            <w:shd w:val="clear" w:color="auto" w:fill="auto"/>
          </w:tcPr>
          <w:p w:rsidR="00A55C00" w:rsidRPr="00657A5B" w:rsidRDefault="00A55C00" w:rsidP="00A55C00">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A55C00" w:rsidRPr="00F62685" w:rsidRDefault="00A55C00" w:rsidP="00A55C00">
            <w:pPr>
              <w:spacing w:after="0" w:line="240" w:lineRule="auto"/>
              <w:jc w:val="both"/>
              <w:rPr>
                <w:rFonts w:ascii="Times New Roman" w:eastAsia="Times New Roman" w:hAnsi="Times New Roman" w:cs="Times New Roman"/>
                <w:sz w:val="20"/>
                <w:szCs w:val="20"/>
              </w:rPr>
            </w:pPr>
          </w:p>
        </w:tc>
      </w:tr>
      <w:tr w:rsidR="00A55C00" w:rsidRPr="00F62685" w:rsidTr="00E9260B">
        <w:trPr>
          <w:trHeight w:val="64"/>
        </w:trPr>
        <w:tc>
          <w:tcPr>
            <w:tcW w:w="941" w:type="pct"/>
            <w:shd w:val="clear" w:color="auto" w:fill="BDD6EE" w:themeFill="accent1" w:themeFillTint="66"/>
          </w:tcPr>
          <w:p w:rsidR="00A55C00" w:rsidRPr="00F62685" w:rsidRDefault="00A55C00" w:rsidP="00A55C00">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A55C00" w:rsidRPr="00F62685" w:rsidRDefault="00A55C00"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A55C00" w:rsidRPr="00657A5B" w:rsidRDefault="00A55C00" w:rsidP="00A55C00">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A55C00" w:rsidRPr="00F62685" w:rsidRDefault="00A55C00" w:rsidP="00A55C00">
            <w:pPr>
              <w:spacing w:after="0" w:line="240" w:lineRule="auto"/>
              <w:jc w:val="both"/>
              <w:rPr>
                <w:rFonts w:ascii="Times New Roman" w:eastAsia="Times New Roman" w:hAnsi="Times New Roman" w:cs="Times New Roman"/>
                <w:sz w:val="20"/>
                <w:szCs w:val="20"/>
              </w:rPr>
            </w:pPr>
          </w:p>
        </w:tc>
      </w:tr>
      <w:tr w:rsidR="00A55C00" w:rsidRPr="00F62685" w:rsidTr="00DE00BF">
        <w:trPr>
          <w:trHeight w:val="161"/>
        </w:trPr>
        <w:tc>
          <w:tcPr>
            <w:tcW w:w="941" w:type="pct"/>
            <w:shd w:val="clear" w:color="auto" w:fill="auto"/>
          </w:tcPr>
          <w:p w:rsidR="00A55C00" w:rsidRPr="00F62685" w:rsidRDefault="00A55C00" w:rsidP="00A55C00">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lastRenderedPageBreak/>
              <w:t>МИНИСТЕРСТВО НА ОБРАЗОВАНИЕТО И НАУКАТА</w:t>
            </w:r>
          </w:p>
        </w:tc>
        <w:tc>
          <w:tcPr>
            <w:tcW w:w="1868" w:type="pct"/>
            <w:shd w:val="clear" w:color="auto" w:fill="auto"/>
          </w:tcPr>
          <w:p w:rsidR="00A55C00" w:rsidRPr="00816FED" w:rsidRDefault="00A55C00" w:rsidP="00097BFC">
            <w:pPr>
              <w:spacing w:after="60" w:line="240" w:lineRule="auto"/>
              <w:jc w:val="both"/>
              <w:rPr>
                <w:rFonts w:ascii="Times New Roman" w:eastAsia="Times New Roman" w:hAnsi="Times New Roman" w:cs="Times New Roman"/>
                <w:b/>
                <w:sz w:val="20"/>
                <w:szCs w:val="20"/>
              </w:rPr>
            </w:pPr>
            <w:r w:rsidRPr="00816FED">
              <w:rPr>
                <w:rFonts w:ascii="Times New Roman" w:eastAsia="Times New Roman" w:hAnsi="Times New Roman" w:cs="Times New Roman"/>
                <w:b/>
                <w:sz w:val="20"/>
                <w:szCs w:val="20"/>
              </w:rPr>
              <w:t>Министерството на образованието и науката,  на основание чл. 33, ал. 3 от УПМСНА  съгласува проект на Решение на Министерския съвет за одобряване на законопроект за държавния бюджет на Република България за 2024 г. и материалите към него със следните предложения и бележки:</w:t>
            </w:r>
          </w:p>
          <w:p w:rsidR="00A55C00" w:rsidRPr="00E94BBC" w:rsidRDefault="00A55C00" w:rsidP="00097BFC">
            <w:pPr>
              <w:spacing w:after="60" w:line="240" w:lineRule="auto"/>
              <w:jc w:val="both"/>
              <w:rPr>
                <w:rFonts w:ascii="Times New Roman" w:eastAsia="Times New Roman" w:hAnsi="Times New Roman" w:cs="Times New Roman"/>
                <w:sz w:val="20"/>
                <w:szCs w:val="20"/>
              </w:rPr>
            </w:pPr>
            <w:r w:rsidRPr="00330BB6">
              <w:rPr>
                <w:rFonts w:ascii="Times New Roman" w:eastAsia="Times New Roman" w:hAnsi="Times New Roman" w:cs="Times New Roman"/>
                <w:b/>
                <w:sz w:val="20"/>
                <w:szCs w:val="20"/>
              </w:rPr>
              <w:t>I.</w:t>
            </w:r>
            <w:r>
              <w:rPr>
                <w:rFonts w:ascii="Times New Roman" w:eastAsia="Times New Roman" w:hAnsi="Times New Roman" w:cs="Times New Roman"/>
                <w:sz w:val="20"/>
                <w:szCs w:val="20"/>
              </w:rPr>
              <w:t xml:space="preserve"> </w:t>
            </w:r>
            <w:r w:rsidRPr="00E94BBC">
              <w:rPr>
                <w:rFonts w:ascii="Times New Roman" w:eastAsia="Times New Roman" w:hAnsi="Times New Roman" w:cs="Times New Roman"/>
                <w:sz w:val="20"/>
                <w:szCs w:val="20"/>
              </w:rPr>
              <w:t>По законопроекта за държавния бюджет на Република България за 2024 г.</w:t>
            </w:r>
          </w:p>
          <w:p w:rsidR="00A55C00" w:rsidRPr="00E94BBC" w:rsidRDefault="00A55C00" w:rsidP="00097BFC">
            <w:pPr>
              <w:spacing w:after="60" w:line="240" w:lineRule="auto"/>
              <w:jc w:val="both"/>
              <w:rPr>
                <w:rFonts w:ascii="Times New Roman" w:eastAsia="Times New Roman" w:hAnsi="Times New Roman" w:cs="Times New Roman"/>
                <w:sz w:val="20"/>
                <w:szCs w:val="20"/>
              </w:rPr>
            </w:pPr>
            <w:r w:rsidRPr="00330BB6">
              <w:rPr>
                <w:rFonts w:ascii="Times New Roman" w:eastAsia="Times New Roman" w:hAnsi="Times New Roman" w:cs="Times New Roman"/>
                <w:b/>
                <w:sz w:val="20"/>
                <w:szCs w:val="20"/>
              </w:rPr>
              <w:t>1.</w:t>
            </w:r>
            <w:r>
              <w:rPr>
                <w:rFonts w:ascii="Times New Roman" w:eastAsia="Times New Roman" w:hAnsi="Times New Roman" w:cs="Times New Roman"/>
                <w:sz w:val="20"/>
                <w:szCs w:val="20"/>
              </w:rPr>
              <w:t xml:space="preserve"> </w:t>
            </w:r>
            <w:r w:rsidRPr="00E94BBC">
              <w:rPr>
                <w:rFonts w:ascii="Times New Roman" w:eastAsia="Times New Roman" w:hAnsi="Times New Roman" w:cs="Times New Roman"/>
                <w:sz w:val="20"/>
                <w:szCs w:val="20"/>
              </w:rPr>
              <w:t xml:space="preserve">В текста в чл. 1, ал. 5, т. 2.2 след текста се постави запетая и се допълнят думите „в т.ч. </w:t>
            </w:r>
            <w:proofErr w:type="spellStart"/>
            <w:r w:rsidRPr="00E94BBC">
              <w:rPr>
                <w:rFonts w:ascii="Times New Roman" w:eastAsia="Times New Roman" w:hAnsi="Times New Roman" w:cs="Times New Roman"/>
                <w:sz w:val="20"/>
                <w:szCs w:val="20"/>
              </w:rPr>
              <w:t>дофинансиране</w:t>
            </w:r>
            <w:proofErr w:type="spellEnd"/>
            <w:r w:rsidRPr="00E94BBC">
              <w:rPr>
                <w:rFonts w:ascii="Times New Roman" w:eastAsia="Times New Roman" w:hAnsi="Times New Roman" w:cs="Times New Roman"/>
                <w:sz w:val="20"/>
                <w:szCs w:val="20"/>
              </w:rPr>
              <w:t xml:space="preserve"> на ремонт на училищата по Оперативна програма "Региони в растеж“.</w:t>
            </w:r>
          </w:p>
          <w:p w:rsidR="00A55C00" w:rsidRPr="00F62685" w:rsidRDefault="00A55C00" w:rsidP="00596248">
            <w:pPr>
              <w:spacing w:after="60" w:line="240" w:lineRule="auto"/>
              <w:jc w:val="both"/>
              <w:rPr>
                <w:rFonts w:ascii="Times New Roman" w:eastAsia="Times New Roman" w:hAnsi="Times New Roman" w:cs="Times New Roman"/>
                <w:sz w:val="20"/>
                <w:szCs w:val="20"/>
              </w:rPr>
            </w:pPr>
            <w:r w:rsidRPr="00E94BBC">
              <w:rPr>
                <w:rFonts w:ascii="Times New Roman" w:eastAsia="Times New Roman" w:hAnsi="Times New Roman" w:cs="Times New Roman"/>
                <w:sz w:val="20"/>
                <w:szCs w:val="20"/>
              </w:rPr>
              <w:t>Следва да се има предвид, че за Министерството на образованието и науката завършването на обектите, заложени в проектите по Оперативна програма „Региони в растеж” 2014-2020 е без алтернатива, тъй като неизпълнението на индикаторите по</w:t>
            </w:r>
            <w:r>
              <w:rPr>
                <w:rFonts w:ascii="Times New Roman" w:eastAsia="Times New Roman" w:hAnsi="Times New Roman" w:cs="Times New Roman"/>
                <w:sz w:val="20"/>
                <w:szCs w:val="20"/>
              </w:rPr>
              <w:t xml:space="preserve"> </w:t>
            </w:r>
            <w:r>
              <w:t xml:space="preserve"> </w:t>
            </w:r>
            <w:r w:rsidRPr="00E94BBC">
              <w:rPr>
                <w:rFonts w:ascii="Times New Roman" w:eastAsia="Times New Roman" w:hAnsi="Times New Roman" w:cs="Times New Roman"/>
                <w:sz w:val="20"/>
                <w:szCs w:val="20"/>
              </w:rPr>
              <w:t xml:space="preserve">проектите ще доведе не само до </w:t>
            </w:r>
            <w:proofErr w:type="spellStart"/>
            <w:r w:rsidRPr="00E94BBC">
              <w:rPr>
                <w:rFonts w:ascii="Times New Roman" w:eastAsia="Times New Roman" w:hAnsi="Times New Roman" w:cs="Times New Roman"/>
                <w:sz w:val="20"/>
                <w:szCs w:val="20"/>
              </w:rPr>
              <w:t>неусвояване</w:t>
            </w:r>
            <w:proofErr w:type="spellEnd"/>
            <w:r w:rsidRPr="00E94BBC">
              <w:rPr>
                <w:rFonts w:ascii="Times New Roman" w:eastAsia="Times New Roman" w:hAnsi="Times New Roman" w:cs="Times New Roman"/>
                <w:sz w:val="20"/>
                <w:szCs w:val="20"/>
              </w:rPr>
              <w:t xml:space="preserve"> на заделения по програмата ресурс, но и до налагане на финансови корекции върху вече изпълнените проекти. В допълнение, неизпълнението на проектите на Министерството на образованието и науката ще доведе до невъзможност за постигане на крайните цели на ОПРР, което крие риск от налагане на финансова корекция от страна на Европейската комисия върху всички отпуснати средства по програмата в рамките на Приоритетна ос 3 „Регионална образователна инфраструктура“. Независимо от усилията, които полага министерството в оставащите по-малко от месец и половина до края на 2023 г., когато изтича срока за допустимост на разходите по оперативната програма, ще останат дейности както строително ремонтни дейности, така и съпътстващи дейности (строителен надзор, инвеститорски контрол, авторски надзор и др.), които ще трябва да се разплатят от бюджета за 2024 г.</w:t>
            </w:r>
          </w:p>
        </w:tc>
        <w:tc>
          <w:tcPr>
            <w:tcW w:w="574" w:type="pct"/>
            <w:shd w:val="clear" w:color="auto" w:fill="auto"/>
          </w:tcPr>
          <w:p w:rsidR="00A55C00" w:rsidRPr="00657A5B" w:rsidRDefault="00A55C00" w:rsidP="00A55C00">
            <w:pPr>
              <w:spacing w:after="0" w:line="240" w:lineRule="auto"/>
              <w:jc w:val="center"/>
              <w:rPr>
                <w:rFonts w:ascii="Times New Roman" w:eastAsia="Times New Roman" w:hAnsi="Times New Roman" w:cs="Times New Roman"/>
                <w:b/>
                <w:sz w:val="20"/>
                <w:szCs w:val="20"/>
              </w:rPr>
            </w:pPr>
          </w:p>
          <w:p w:rsidR="003A456C" w:rsidRPr="00657A5B" w:rsidRDefault="003A456C" w:rsidP="00A55C00">
            <w:pPr>
              <w:spacing w:after="0" w:line="240" w:lineRule="auto"/>
              <w:jc w:val="center"/>
              <w:rPr>
                <w:rFonts w:ascii="Times New Roman" w:eastAsia="Times New Roman" w:hAnsi="Times New Roman" w:cs="Times New Roman"/>
                <w:b/>
                <w:sz w:val="20"/>
                <w:szCs w:val="20"/>
              </w:rPr>
            </w:pPr>
          </w:p>
          <w:p w:rsidR="003A456C" w:rsidRPr="00657A5B" w:rsidRDefault="003A456C" w:rsidP="00A55C00">
            <w:pPr>
              <w:spacing w:after="0" w:line="240" w:lineRule="auto"/>
              <w:jc w:val="center"/>
              <w:rPr>
                <w:rFonts w:ascii="Times New Roman" w:eastAsia="Times New Roman" w:hAnsi="Times New Roman" w:cs="Times New Roman"/>
                <w:b/>
                <w:sz w:val="20"/>
                <w:szCs w:val="20"/>
              </w:rPr>
            </w:pPr>
          </w:p>
          <w:p w:rsidR="003A456C" w:rsidRPr="00657A5B" w:rsidRDefault="003A456C" w:rsidP="00A55C00">
            <w:pPr>
              <w:spacing w:after="0" w:line="240" w:lineRule="auto"/>
              <w:jc w:val="center"/>
              <w:rPr>
                <w:rFonts w:ascii="Times New Roman" w:eastAsia="Times New Roman" w:hAnsi="Times New Roman" w:cs="Times New Roman"/>
                <w:b/>
                <w:sz w:val="20"/>
                <w:szCs w:val="20"/>
              </w:rPr>
            </w:pPr>
          </w:p>
          <w:p w:rsidR="003A456C" w:rsidRPr="00657A5B" w:rsidRDefault="003A456C" w:rsidP="00A55C00">
            <w:pPr>
              <w:spacing w:after="0" w:line="240" w:lineRule="auto"/>
              <w:jc w:val="center"/>
              <w:rPr>
                <w:rFonts w:ascii="Times New Roman" w:eastAsia="Times New Roman" w:hAnsi="Times New Roman" w:cs="Times New Roman"/>
                <w:b/>
                <w:sz w:val="20"/>
                <w:szCs w:val="20"/>
              </w:rPr>
            </w:pPr>
          </w:p>
          <w:p w:rsidR="003A456C" w:rsidRPr="00657A5B" w:rsidRDefault="003A456C" w:rsidP="00A55C00">
            <w:pPr>
              <w:spacing w:after="0" w:line="240" w:lineRule="auto"/>
              <w:jc w:val="center"/>
              <w:rPr>
                <w:rFonts w:ascii="Times New Roman" w:eastAsia="Times New Roman" w:hAnsi="Times New Roman" w:cs="Times New Roman"/>
                <w:b/>
                <w:sz w:val="20"/>
                <w:szCs w:val="20"/>
              </w:rPr>
            </w:pPr>
          </w:p>
          <w:p w:rsidR="003A456C" w:rsidRPr="00657A5B" w:rsidRDefault="008B5285" w:rsidP="008B5285">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 xml:space="preserve">Приема </w:t>
            </w:r>
            <w:r w:rsidR="00711822" w:rsidRPr="00657A5B">
              <w:rPr>
                <w:rFonts w:ascii="Times New Roman" w:eastAsia="Times New Roman" w:hAnsi="Times New Roman" w:cs="Times New Roman"/>
                <w:b/>
                <w:sz w:val="20"/>
                <w:szCs w:val="20"/>
              </w:rPr>
              <w:t>се</w:t>
            </w:r>
            <w:r w:rsidR="00CE13D8" w:rsidRPr="00657A5B">
              <w:rPr>
                <w:rFonts w:ascii="Times New Roman" w:eastAsia="Times New Roman" w:hAnsi="Times New Roman" w:cs="Times New Roman"/>
                <w:b/>
                <w:sz w:val="20"/>
                <w:szCs w:val="20"/>
              </w:rPr>
              <w:t xml:space="preserve"> по принцип</w:t>
            </w:r>
          </w:p>
          <w:p w:rsidR="003A456C" w:rsidRPr="00657A5B" w:rsidRDefault="003A456C" w:rsidP="00A55C00">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A55C00" w:rsidRDefault="00A55C00" w:rsidP="00A55C00">
            <w:pPr>
              <w:spacing w:after="0" w:line="240" w:lineRule="auto"/>
              <w:jc w:val="both"/>
              <w:rPr>
                <w:rFonts w:ascii="Times New Roman" w:eastAsia="Times New Roman" w:hAnsi="Times New Roman" w:cs="Times New Roman"/>
                <w:sz w:val="20"/>
                <w:szCs w:val="20"/>
              </w:rPr>
            </w:pPr>
          </w:p>
          <w:p w:rsidR="003A456C" w:rsidRDefault="003A456C" w:rsidP="00A55C00">
            <w:pPr>
              <w:spacing w:after="0" w:line="240" w:lineRule="auto"/>
              <w:jc w:val="both"/>
              <w:rPr>
                <w:rFonts w:ascii="Times New Roman" w:eastAsia="Times New Roman" w:hAnsi="Times New Roman" w:cs="Times New Roman"/>
                <w:sz w:val="20"/>
                <w:szCs w:val="20"/>
              </w:rPr>
            </w:pPr>
          </w:p>
          <w:p w:rsidR="003A456C" w:rsidRDefault="003A456C" w:rsidP="00A55C00">
            <w:pPr>
              <w:spacing w:after="0" w:line="240" w:lineRule="auto"/>
              <w:jc w:val="both"/>
              <w:rPr>
                <w:rFonts w:ascii="Times New Roman" w:eastAsia="Times New Roman" w:hAnsi="Times New Roman" w:cs="Times New Roman"/>
                <w:sz w:val="20"/>
                <w:szCs w:val="20"/>
              </w:rPr>
            </w:pPr>
          </w:p>
          <w:p w:rsidR="003A456C" w:rsidRDefault="003A456C" w:rsidP="00A55C00">
            <w:pPr>
              <w:spacing w:after="0" w:line="240" w:lineRule="auto"/>
              <w:jc w:val="both"/>
              <w:rPr>
                <w:rFonts w:ascii="Times New Roman" w:eastAsia="Times New Roman" w:hAnsi="Times New Roman" w:cs="Times New Roman"/>
                <w:sz w:val="20"/>
                <w:szCs w:val="20"/>
              </w:rPr>
            </w:pPr>
          </w:p>
          <w:p w:rsidR="003A456C" w:rsidRDefault="003A456C" w:rsidP="00A55C00">
            <w:pPr>
              <w:spacing w:after="0" w:line="240" w:lineRule="auto"/>
              <w:jc w:val="both"/>
              <w:rPr>
                <w:rFonts w:ascii="Times New Roman" w:eastAsia="Times New Roman" w:hAnsi="Times New Roman" w:cs="Times New Roman"/>
                <w:sz w:val="20"/>
                <w:szCs w:val="20"/>
              </w:rPr>
            </w:pPr>
          </w:p>
          <w:p w:rsidR="003A456C" w:rsidRDefault="003A456C" w:rsidP="00A55C00">
            <w:pPr>
              <w:spacing w:after="0" w:line="240" w:lineRule="auto"/>
              <w:jc w:val="both"/>
              <w:rPr>
                <w:rFonts w:ascii="Times New Roman" w:eastAsia="Times New Roman" w:hAnsi="Times New Roman" w:cs="Times New Roman"/>
                <w:sz w:val="20"/>
                <w:szCs w:val="20"/>
              </w:rPr>
            </w:pPr>
          </w:p>
          <w:p w:rsidR="00CE13D8" w:rsidRPr="00A74642" w:rsidRDefault="00CE13D8" w:rsidP="00CE13D8">
            <w:pPr>
              <w:spacing w:after="0" w:line="240" w:lineRule="auto"/>
              <w:jc w:val="both"/>
              <w:rPr>
                <w:rFonts w:ascii="Times New Roman" w:eastAsia="Times New Roman" w:hAnsi="Times New Roman" w:cs="Times New Roman"/>
                <w:sz w:val="20"/>
                <w:szCs w:val="20"/>
                <w:lang w:val="ru-RU" w:eastAsia="bg-BG"/>
              </w:rPr>
            </w:pPr>
            <w:r w:rsidRPr="00CE13D8">
              <w:rPr>
                <w:rFonts w:ascii="Times New Roman" w:eastAsia="Times New Roman" w:hAnsi="Times New Roman" w:cs="Times New Roman"/>
                <w:sz w:val="20"/>
                <w:szCs w:val="20"/>
                <w:lang w:eastAsia="bg-BG"/>
              </w:rPr>
              <w:t>Отразено е в</w:t>
            </w:r>
            <w:r w:rsidRPr="00CE13D8">
              <w:rPr>
                <w:rFonts w:ascii="Times New Roman" w:eastAsia="Times New Roman" w:hAnsi="Times New Roman" w:cs="Times New Roman"/>
                <w:sz w:val="20"/>
                <w:szCs w:val="20"/>
              </w:rPr>
              <w:t xml:space="preserve"> законопроекта</w:t>
            </w:r>
            <w:r w:rsidRPr="00CE13D8">
              <w:rPr>
                <w:rFonts w:ascii="Times New Roman" w:eastAsia="Times New Roman" w:hAnsi="Times New Roman" w:cs="Times New Roman"/>
                <w:sz w:val="20"/>
                <w:szCs w:val="20"/>
                <w:lang w:eastAsia="bg-BG"/>
              </w:rPr>
              <w:t xml:space="preserve"> в съответствие с новия подход за бюджетиране и разходване на капиталовите разходи  чрез реализиране на Националната капиталов</w:t>
            </w:r>
            <w:r w:rsidR="0086366B">
              <w:rPr>
                <w:rFonts w:ascii="Times New Roman" w:eastAsia="Times New Roman" w:hAnsi="Times New Roman" w:cs="Times New Roman"/>
                <w:sz w:val="20"/>
                <w:szCs w:val="20"/>
                <w:lang w:eastAsia="bg-BG"/>
              </w:rPr>
              <w:t>а</w:t>
            </w:r>
            <w:r w:rsidRPr="00CE13D8">
              <w:rPr>
                <w:rFonts w:ascii="Times New Roman" w:eastAsia="Times New Roman" w:hAnsi="Times New Roman" w:cs="Times New Roman"/>
                <w:sz w:val="20"/>
                <w:szCs w:val="20"/>
                <w:lang w:eastAsia="bg-BG"/>
              </w:rPr>
              <w:t xml:space="preserve"> програма</w:t>
            </w:r>
            <w:r w:rsidRPr="00CE13D8">
              <w:rPr>
                <w:rFonts w:ascii="Times New Roman" w:eastAsia="Times New Roman" w:hAnsi="Times New Roman" w:cs="Times New Roman"/>
                <w:sz w:val="20"/>
                <w:szCs w:val="20"/>
              </w:rPr>
              <w:t>.</w:t>
            </w:r>
          </w:p>
          <w:p w:rsidR="003A456C" w:rsidRPr="00F62685" w:rsidRDefault="003A456C" w:rsidP="00F27369">
            <w:pPr>
              <w:spacing w:after="0" w:line="240" w:lineRule="auto"/>
              <w:jc w:val="both"/>
              <w:rPr>
                <w:rFonts w:ascii="Times New Roman" w:eastAsia="Times New Roman" w:hAnsi="Times New Roman" w:cs="Times New Roman"/>
                <w:sz w:val="20"/>
                <w:szCs w:val="20"/>
              </w:rPr>
            </w:pPr>
          </w:p>
        </w:tc>
      </w:tr>
      <w:tr w:rsidR="00330BB6" w:rsidRPr="00F62685" w:rsidTr="00330BB6">
        <w:trPr>
          <w:trHeight w:val="64"/>
        </w:trPr>
        <w:tc>
          <w:tcPr>
            <w:tcW w:w="941" w:type="pct"/>
            <w:shd w:val="clear" w:color="auto" w:fill="auto"/>
          </w:tcPr>
          <w:p w:rsidR="00330BB6" w:rsidRPr="00F62685" w:rsidRDefault="00330BB6" w:rsidP="00A55C00">
            <w:pPr>
              <w:spacing w:after="0" w:line="240" w:lineRule="auto"/>
              <w:rPr>
                <w:rFonts w:ascii="Times New Roman" w:eastAsia="Times New Roman" w:hAnsi="Times New Roman" w:cs="Times New Roman"/>
                <w:b/>
                <w:sz w:val="20"/>
                <w:szCs w:val="20"/>
              </w:rPr>
            </w:pPr>
          </w:p>
        </w:tc>
        <w:tc>
          <w:tcPr>
            <w:tcW w:w="1868" w:type="pct"/>
            <w:shd w:val="clear" w:color="auto" w:fill="auto"/>
          </w:tcPr>
          <w:p w:rsidR="00330BB6" w:rsidRPr="00E94BBC" w:rsidRDefault="00330BB6" w:rsidP="00097BFC">
            <w:pPr>
              <w:spacing w:after="60" w:line="240" w:lineRule="auto"/>
              <w:jc w:val="both"/>
              <w:rPr>
                <w:rFonts w:ascii="Times New Roman" w:eastAsia="Times New Roman" w:hAnsi="Times New Roman" w:cs="Times New Roman"/>
                <w:sz w:val="20"/>
                <w:szCs w:val="20"/>
              </w:rPr>
            </w:pPr>
            <w:r w:rsidRPr="00330BB6">
              <w:rPr>
                <w:rFonts w:ascii="Times New Roman" w:eastAsia="Times New Roman" w:hAnsi="Times New Roman" w:cs="Times New Roman"/>
                <w:b/>
                <w:sz w:val="20"/>
                <w:szCs w:val="20"/>
              </w:rPr>
              <w:t>2.</w:t>
            </w:r>
            <w:r>
              <w:rPr>
                <w:rFonts w:ascii="Times New Roman" w:eastAsia="Times New Roman" w:hAnsi="Times New Roman" w:cs="Times New Roman"/>
                <w:sz w:val="20"/>
                <w:szCs w:val="20"/>
              </w:rPr>
              <w:t xml:space="preserve"> </w:t>
            </w:r>
            <w:r w:rsidRPr="00E94BBC">
              <w:rPr>
                <w:rFonts w:ascii="Times New Roman" w:eastAsia="Times New Roman" w:hAnsi="Times New Roman" w:cs="Times New Roman"/>
                <w:sz w:val="20"/>
                <w:szCs w:val="20"/>
              </w:rPr>
              <w:t>В чл. 1, ал. 5, т. 2.4 след думите „спортни площадки“ се добави „... и физкултурни салони“.</w:t>
            </w:r>
          </w:p>
          <w:p w:rsidR="00330BB6" w:rsidRPr="00E94BBC" w:rsidRDefault="00330BB6" w:rsidP="00097BFC">
            <w:pPr>
              <w:spacing w:after="60" w:line="240" w:lineRule="auto"/>
              <w:jc w:val="both"/>
              <w:rPr>
                <w:rFonts w:ascii="Times New Roman" w:eastAsia="Times New Roman" w:hAnsi="Times New Roman" w:cs="Times New Roman"/>
                <w:sz w:val="20"/>
                <w:szCs w:val="20"/>
              </w:rPr>
            </w:pPr>
            <w:r w:rsidRPr="00E94BBC">
              <w:rPr>
                <w:rFonts w:ascii="Times New Roman" w:eastAsia="Times New Roman" w:hAnsi="Times New Roman" w:cs="Times New Roman"/>
                <w:sz w:val="20"/>
                <w:szCs w:val="20"/>
              </w:rPr>
              <w:t>Мотивът за предложената бележка е т. 3 от РМС № 686/04.10.2023 г. за приемане на програми за разширяване и подобряване на сградния фонд и материалната база в системата на образованието за периода 2024 - 2026 г„ в която е посочено че средствата за изпълнение на приета Програмата за изграждане и основен ремонт на спортни площадки и физкултурни салони в държавните и общинските училища за периода 2024 - 2026 г. се планират в централния бюджет.</w:t>
            </w:r>
          </w:p>
          <w:p w:rsidR="00330BB6" w:rsidRPr="00330BB6" w:rsidRDefault="00330BB6" w:rsidP="00097BFC">
            <w:pPr>
              <w:spacing w:after="60" w:line="240" w:lineRule="auto"/>
              <w:jc w:val="both"/>
              <w:rPr>
                <w:rFonts w:ascii="Times New Roman" w:eastAsia="Times New Roman" w:hAnsi="Times New Roman" w:cs="Times New Roman"/>
                <w:b/>
                <w:sz w:val="20"/>
                <w:szCs w:val="20"/>
              </w:rPr>
            </w:pPr>
            <w:r w:rsidRPr="00E94BBC">
              <w:rPr>
                <w:rFonts w:ascii="Times New Roman" w:eastAsia="Times New Roman" w:hAnsi="Times New Roman" w:cs="Times New Roman"/>
                <w:sz w:val="20"/>
                <w:szCs w:val="20"/>
              </w:rPr>
              <w:t xml:space="preserve">Моля бележката да се отрази и в проекта на Актуализирана средносрочна бюджетна прогноза за периода 2024-2026 г. на </w:t>
            </w:r>
            <w:r w:rsidRPr="00E94BBC">
              <w:rPr>
                <w:rFonts w:ascii="Times New Roman" w:eastAsia="Times New Roman" w:hAnsi="Times New Roman" w:cs="Times New Roman"/>
                <w:sz w:val="20"/>
                <w:szCs w:val="20"/>
              </w:rPr>
              <w:lastRenderedPageBreak/>
              <w:t>страница 93 в т. 2.5. Политика в областта на образованието и науката.</w:t>
            </w:r>
          </w:p>
        </w:tc>
        <w:tc>
          <w:tcPr>
            <w:tcW w:w="574" w:type="pct"/>
            <w:shd w:val="clear" w:color="auto" w:fill="auto"/>
          </w:tcPr>
          <w:p w:rsidR="00426705" w:rsidRPr="00657A5B" w:rsidRDefault="00426705" w:rsidP="00426705">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Приема се по принцип</w:t>
            </w:r>
          </w:p>
          <w:p w:rsidR="00330BB6" w:rsidRPr="00657A5B" w:rsidRDefault="00330BB6" w:rsidP="00A55C00">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330BB6" w:rsidRPr="00F62685" w:rsidRDefault="00426705" w:rsidP="00F27369">
            <w:pPr>
              <w:spacing w:after="0" w:line="240" w:lineRule="auto"/>
              <w:jc w:val="both"/>
              <w:rPr>
                <w:rFonts w:ascii="Times New Roman" w:eastAsia="Times New Roman" w:hAnsi="Times New Roman" w:cs="Times New Roman"/>
                <w:sz w:val="20"/>
                <w:szCs w:val="20"/>
              </w:rPr>
            </w:pPr>
            <w:r w:rsidRPr="00CE13D8">
              <w:rPr>
                <w:rFonts w:ascii="Times New Roman" w:eastAsia="Times New Roman" w:hAnsi="Times New Roman" w:cs="Times New Roman"/>
                <w:sz w:val="20"/>
                <w:szCs w:val="20"/>
                <w:lang w:eastAsia="bg-BG"/>
              </w:rPr>
              <w:t>Отразено е в</w:t>
            </w:r>
            <w:r w:rsidRPr="00CE13D8">
              <w:rPr>
                <w:rFonts w:ascii="Times New Roman" w:eastAsia="Times New Roman" w:hAnsi="Times New Roman" w:cs="Times New Roman"/>
                <w:sz w:val="20"/>
                <w:szCs w:val="20"/>
              </w:rPr>
              <w:t xml:space="preserve"> законопроекта</w:t>
            </w:r>
            <w:r w:rsidRPr="00CE13D8">
              <w:rPr>
                <w:rFonts w:ascii="Times New Roman" w:eastAsia="Times New Roman" w:hAnsi="Times New Roman" w:cs="Times New Roman"/>
                <w:sz w:val="20"/>
                <w:szCs w:val="20"/>
                <w:lang w:eastAsia="bg-BG"/>
              </w:rPr>
              <w:t xml:space="preserve"> в съответствие с новия подход за бюджетиране и разходване на капиталовите разходи  чрез реализиране на Националната капиталов</w:t>
            </w:r>
            <w:r>
              <w:rPr>
                <w:rFonts w:ascii="Times New Roman" w:eastAsia="Times New Roman" w:hAnsi="Times New Roman" w:cs="Times New Roman"/>
                <w:sz w:val="20"/>
                <w:szCs w:val="20"/>
                <w:lang w:eastAsia="bg-BG"/>
              </w:rPr>
              <w:t>а</w:t>
            </w:r>
            <w:r w:rsidRPr="00CE13D8">
              <w:rPr>
                <w:rFonts w:ascii="Times New Roman" w:eastAsia="Times New Roman" w:hAnsi="Times New Roman" w:cs="Times New Roman"/>
                <w:sz w:val="20"/>
                <w:szCs w:val="20"/>
                <w:lang w:eastAsia="bg-BG"/>
              </w:rPr>
              <w:t xml:space="preserve"> програма</w:t>
            </w:r>
            <w:r w:rsidRPr="00CE13D8">
              <w:rPr>
                <w:rFonts w:ascii="Times New Roman" w:eastAsia="Times New Roman" w:hAnsi="Times New Roman" w:cs="Times New Roman"/>
                <w:sz w:val="20"/>
                <w:szCs w:val="20"/>
              </w:rPr>
              <w:t>.</w:t>
            </w:r>
          </w:p>
        </w:tc>
      </w:tr>
      <w:tr w:rsidR="00330BB6" w:rsidRPr="00F62685" w:rsidTr="00330BB6">
        <w:trPr>
          <w:trHeight w:val="64"/>
        </w:trPr>
        <w:tc>
          <w:tcPr>
            <w:tcW w:w="941" w:type="pct"/>
            <w:shd w:val="clear" w:color="auto" w:fill="auto"/>
          </w:tcPr>
          <w:p w:rsidR="00330BB6" w:rsidRPr="00F62685" w:rsidRDefault="00330BB6" w:rsidP="00A55C00">
            <w:pPr>
              <w:spacing w:after="0" w:line="240" w:lineRule="auto"/>
              <w:rPr>
                <w:rFonts w:ascii="Times New Roman" w:eastAsia="Times New Roman" w:hAnsi="Times New Roman" w:cs="Times New Roman"/>
                <w:b/>
                <w:sz w:val="20"/>
                <w:szCs w:val="20"/>
              </w:rPr>
            </w:pPr>
          </w:p>
        </w:tc>
        <w:tc>
          <w:tcPr>
            <w:tcW w:w="1868" w:type="pct"/>
            <w:shd w:val="clear" w:color="auto" w:fill="auto"/>
          </w:tcPr>
          <w:p w:rsidR="00330BB6" w:rsidRPr="00E94BBC" w:rsidRDefault="00330BB6" w:rsidP="00097BFC">
            <w:pPr>
              <w:spacing w:after="60" w:line="240" w:lineRule="auto"/>
              <w:jc w:val="both"/>
              <w:rPr>
                <w:rFonts w:ascii="Times New Roman" w:eastAsia="Times New Roman" w:hAnsi="Times New Roman" w:cs="Times New Roman"/>
                <w:sz w:val="20"/>
                <w:szCs w:val="20"/>
              </w:rPr>
            </w:pPr>
            <w:r w:rsidRPr="00330BB6">
              <w:rPr>
                <w:rFonts w:ascii="Times New Roman" w:eastAsia="Times New Roman" w:hAnsi="Times New Roman" w:cs="Times New Roman"/>
                <w:b/>
                <w:sz w:val="20"/>
                <w:szCs w:val="20"/>
              </w:rPr>
              <w:t>3.</w:t>
            </w:r>
            <w:r w:rsidRPr="00E94BBC">
              <w:rPr>
                <w:rFonts w:ascii="Times New Roman" w:eastAsia="Times New Roman" w:hAnsi="Times New Roman" w:cs="Times New Roman"/>
                <w:sz w:val="20"/>
                <w:szCs w:val="20"/>
              </w:rPr>
              <w:t xml:space="preserve"> В чл. 1, ал. 5, т. 2.1 числото „20 000,0“ да се замени с „44 405,1“.</w:t>
            </w:r>
          </w:p>
          <w:p w:rsidR="00330BB6" w:rsidRPr="00E94BBC" w:rsidRDefault="00330BB6" w:rsidP="00097BFC">
            <w:pPr>
              <w:spacing w:after="60" w:line="240" w:lineRule="auto"/>
              <w:jc w:val="both"/>
              <w:rPr>
                <w:rFonts w:ascii="Times New Roman" w:eastAsia="Times New Roman" w:hAnsi="Times New Roman" w:cs="Times New Roman"/>
                <w:sz w:val="20"/>
                <w:szCs w:val="20"/>
              </w:rPr>
            </w:pPr>
            <w:r w:rsidRPr="00E94BBC">
              <w:rPr>
                <w:rFonts w:ascii="Times New Roman" w:eastAsia="Times New Roman" w:hAnsi="Times New Roman" w:cs="Times New Roman"/>
                <w:sz w:val="20"/>
                <w:szCs w:val="20"/>
              </w:rPr>
              <w:t>С Постановление № 219 от 17.08.2020 г. на Министерския съвет бяха одобрени допълнителни разходи и трансфери за 2020 г. по бюджета на Министерството на образованието и науката в общ размер до 66 000,0 хил. лв. за саниране, ремонт и обзавеждане на студентски общежития, стопанисвани от държавните висши училища по списък, одобрен със Заповед № РД 09-2232/10.09.2020 г. на министъра на образованието и науката. Средствата се предоставят въз основа на реално извършени разходи от висшите училища.</w:t>
            </w:r>
          </w:p>
          <w:p w:rsidR="00330BB6" w:rsidRDefault="00330BB6" w:rsidP="00097BFC">
            <w:pPr>
              <w:spacing w:after="60" w:line="240" w:lineRule="auto"/>
              <w:jc w:val="both"/>
              <w:rPr>
                <w:rFonts w:ascii="Times New Roman" w:eastAsia="Times New Roman" w:hAnsi="Times New Roman" w:cs="Times New Roman"/>
                <w:sz w:val="20"/>
                <w:szCs w:val="20"/>
              </w:rPr>
            </w:pPr>
            <w:r w:rsidRPr="00E94BBC">
              <w:rPr>
                <w:rFonts w:ascii="Times New Roman" w:eastAsia="Times New Roman" w:hAnsi="Times New Roman" w:cs="Times New Roman"/>
                <w:sz w:val="20"/>
                <w:szCs w:val="20"/>
              </w:rPr>
              <w:t xml:space="preserve">Поради обявени от държавните висши училища, но </w:t>
            </w:r>
            <w:proofErr w:type="spellStart"/>
            <w:r w:rsidRPr="00E94BBC">
              <w:rPr>
                <w:rFonts w:ascii="Times New Roman" w:eastAsia="Times New Roman" w:hAnsi="Times New Roman" w:cs="Times New Roman"/>
                <w:sz w:val="20"/>
                <w:szCs w:val="20"/>
              </w:rPr>
              <w:t>неприключили</w:t>
            </w:r>
            <w:proofErr w:type="spellEnd"/>
            <w:r w:rsidRPr="00E94BBC">
              <w:rPr>
                <w:rFonts w:ascii="Times New Roman" w:eastAsia="Times New Roman" w:hAnsi="Times New Roman" w:cs="Times New Roman"/>
                <w:sz w:val="20"/>
                <w:szCs w:val="20"/>
              </w:rPr>
              <w:t xml:space="preserve"> до края на 2020 г. процедури по Закона за обществените поръчки, през същата година бяха усвоени само 700,0 хил. лв. През следващите две години, 2021 г. и 2022 г., бяха усвоени още общо 31 354,4 хил. лв., съответно 26 152,2 хил. лв. през 2021 г. и 5 202,2 хил. лв. през 2022 г.</w:t>
            </w:r>
          </w:p>
          <w:p w:rsidR="00330BB6" w:rsidRPr="00E94BBC" w:rsidRDefault="00330BB6" w:rsidP="00097BFC">
            <w:pPr>
              <w:spacing w:after="60" w:line="240" w:lineRule="auto"/>
              <w:jc w:val="both"/>
              <w:rPr>
                <w:rFonts w:ascii="Times New Roman" w:eastAsia="Times New Roman" w:hAnsi="Times New Roman" w:cs="Times New Roman"/>
                <w:sz w:val="20"/>
                <w:szCs w:val="20"/>
              </w:rPr>
            </w:pPr>
            <w:r w:rsidRPr="00E94BBC">
              <w:rPr>
                <w:rFonts w:ascii="Times New Roman" w:eastAsia="Times New Roman" w:hAnsi="Times New Roman" w:cs="Times New Roman"/>
                <w:sz w:val="20"/>
                <w:szCs w:val="20"/>
              </w:rPr>
              <w:t>С разпоредбата на чл. 1, ал. 5, т. 2.1. от Закона за държавния бюджет на Република България за 2023 г. бяха предвидените разходи по централния бюджет в размер на 37 944,8 хил. лв. В настоящата 2023 г. е ПМС № 137/2023 и ПМС № 120/2023 г. са предоставени средства в размер общо на 4 303,0 хил. лв. за реално извършени строително-ремонтни дейности и за инженеринг по сключени договори за ремонтни дейности в студентските общежития. С всички изброени средства, предоставени в периода 2020 - 2023 г., се обезпечиха плащанията по сключени договори за част от планираните ремонтни дейности на студентски общежития, предоставени за управление на 10 държавни висши училища. Към настоящия момент има изготвен проект на Постановление за усвояване на средства в размер на 9 500,0 хил. лв. за 2023 г.</w:t>
            </w:r>
          </w:p>
          <w:p w:rsidR="00330BB6" w:rsidRPr="00330BB6" w:rsidRDefault="00330BB6" w:rsidP="00596248">
            <w:pPr>
              <w:spacing w:after="60" w:line="240" w:lineRule="auto"/>
              <w:jc w:val="both"/>
              <w:rPr>
                <w:rFonts w:ascii="Times New Roman" w:eastAsia="Times New Roman" w:hAnsi="Times New Roman" w:cs="Times New Roman"/>
                <w:b/>
                <w:sz w:val="20"/>
                <w:szCs w:val="20"/>
              </w:rPr>
            </w:pPr>
            <w:r w:rsidRPr="00E94BBC">
              <w:rPr>
                <w:rFonts w:ascii="Times New Roman" w:eastAsia="Times New Roman" w:hAnsi="Times New Roman" w:cs="Times New Roman"/>
                <w:sz w:val="20"/>
                <w:szCs w:val="20"/>
              </w:rPr>
              <w:t>Моля бележката да се отрази и в проекта на Актуализирана средносрочна бюджетна прогноза за периода 2024-2026 г. на страница 95 в т. 2.5. Политика в областта на образованието и науката.</w:t>
            </w:r>
          </w:p>
        </w:tc>
        <w:tc>
          <w:tcPr>
            <w:tcW w:w="574" w:type="pct"/>
            <w:shd w:val="clear" w:color="auto" w:fill="auto"/>
          </w:tcPr>
          <w:p w:rsidR="00F11473" w:rsidRPr="00657A5B" w:rsidRDefault="00F11473" w:rsidP="00F11473">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Не се приема</w:t>
            </w:r>
          </w:p>
          <w:p w:rsidR="00F11473" w:rsidRPr="00657A5B" w:rsidRDefault="00F11473" w:rsidP="00F11473">
            <w:pPr>
              <w:spacing w:after="0" w:line="240" w:lineRule="auto"/>
              <w:jc w:val="center"/>
              <w:rPr>
                <w:rFonts w:ascii="Times New Roman" w:eastAsia="Times New Roman" w:hAnsi="Times New Roman" w:cs="Times New Roman"/>
                <w:b/>
                <w:sz w:val="20"/>
                <w:szCs w:val="20"/>
              </w:rPr>
            </w:pPr>
          </w:p>
          <w:p w:rsidR="00330BB6" w:rsidRPr="00657A5B" w:rsidRDefault="00330BB6" w:rsidP="00A55C00">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120FDE" w:rsidRPr="007133F8" w:rsidRDefault="00120FDE" w:rsidP="00120FDE">
            <w:pPr>
              <w:spacing w:after="0" w:line="240" w:lineRule="auto"/>
              <w:jc w:val="both"/>
              <w:rPr>
                <w:rFonts w:ascii="Times New Roman" w:eastAsia="Times New Roman" w:hAnsi="Times New Roman" w:cs="Times New Roman"/>
                <w:sz w:val="20"/>
                <w:szCs w:val="20"/>
                <w:lang w:eastAsia="bg-BG"/>
              </w:rPr>
            </w:pPr>
            <w:r w:rsidRPr="007133F8">
              <w:rPr>
                <w:rFonts w:ascii="Times New Roman" w:eastAsia="Times New Roman" w:hAnsi="Times New Roman" w:cs="Times New Roman"/>
                <w:sz w:val="20"/>
                <w:szCs w:val="20"/>
                <w:lang w:eastAsia="bg-BG"/>
              </w:rPr>
              <w:t>Предложеният размер на разходите по централния бюджет е съобразен с възможностите на държавния бюджет за 2024 г., базиран на есенната макроикономическа прогноза на Министерството на финансите, на действащото законодателство, прилагане на възприетите политики и допускания от правителството за периода 2024-2026 г., отчетни данни и оценка на възможностите за реализиране на инвестиционните разходи в рамките на бюджетната година, предприетите оптимизиращи приходни и разходни мерки със съответните ефекти и предложения за законодателни промени.</w:t>
            </w:r>
          </w:p>
          <w:p w:rsidR="00120FDE" w:rsidRPr="00F62685" w:rsidRDefault="00120FDE" w:rsidP="00120FDE">
            <w:pPr>
              <w:spacing w:after="0" w:line="240" w:lineRule="auto"/>
              <w:jc w:val="both"/>
              <w:rPr>
                <w:rFonts w:ascii="Times New Roman" w:eastAsia="Times New Roman" w:hAnsi="Times New Roman" w:cs="Times New Roman"/>
                <w:sz w:val="20"/>
                <w:szCs w:val="20"/>
              </w:rPr>
            </w:pPr>
            <w:r w:rsidRPr="007133F8">
              <w:rPr>
                <w:rFonts w:ascii="Times New Roman" w:eastAsia="Times New Roman" w:hAnsi="Times New Roman" w:cs="Times New Roman"/>
                <w:sz w:val="20"/>
                <w:szCs w:val="20"/>
                <w:lang w:eastAsia="bg-BG"/>
              </w:rPr>
              <w:t>В тази връзка и предвид ограниченото фискално пространство, на този етап предложения за увеличения в разходната част не биха могли да бъдат удовлетворени.</w:t>
            </w:r>
          </w:p>
        </w:tc>
      </w:tr>
      <w:tr w:rsidR="00DC7AD7" w:rsidRPr="00F62685" w:rsidTr="00330BB6">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E94BBC" w:rsidRDefault="00DC7AD7" w:rsidP="00097BFC">
            <w:pPr>
              <w:spacing w:after="60" w:line="240" w:lineRule="auto"/>
              <w:jc w:val="both"/>
              <w:rPr>
                <w:rFonts w:ascii="Times New Roman" w:eastAsia="Times New Roman" w:hAnsi="Times New Roman" w:cs="Times New Roman"/>
                <w:sz w:val="20"/>
                <w:szCs w:val="20"/>
              </w:rPr>
            </w:pPr>
            <w:r w:rsidRPr="00330BB6">
              <w:rPr>
                <w:rFonts w:ascii="Times New Roman" w:eastAsia="Times New Roman" w:hAnsi="Times New Roman" w:cs="Times New Roman"/>
                <w:b/>
                <w:sz w:val="20"/>
                <w:szCs w:val="20"/>
              </w:rPr>
              <w:t>4.</w:t>
            </w:r>
            <w:r w:rsidR="00596248">
              <w:rPr>
                <w:rFonts w:ascii="Times New Roman" w:eastAsia="Times New Roman" w:hAnsi="Times New Roman" w:cs="Times New Roman"/>
                <w:sz w:val="20"/>
                <w:szCs w:val="20"/>
              </w:rPr>
              <w:t xml:space="preserve"> </w:t>
            </w:r>
            <w:r w:rsidRPr="00E94BBC">
              <w:rPr>
                <w:rFonts w:ascii="Times New Roman" w:eastAsia="Times New Roman" w:hAnsi="Times New Roman" w:cs="Times New Roman"/>
                <w:sz w:val="20"/>
                <w:szCs w:val="20"/>
              </w:rPr>
              <w:t>В чл. 1, ал. 5, т. 2.3 числото „25 302,6“ да се замени с „45 000,0“.</w:t>
            </w:r>
          </w:p>
          <w:p w:rsidR="00DC7AD7" w:rsidRPr="00E94BBC" w:rsidRDefault="00DC7AD7" w:rsidP="00097BFC">
            <w:pPr>
              <w:spacing w:after="60" w:line="240" w:lineRule="auto"/>
              <w:jc w:val="both"/>
              <w:rPr>
                <w:rFonts w:ascii="Times New Roman" w:eastAsia="Times New Roman" w:hAnsi="Times New Roman" w:cs="Times New Roman"/>
                <w:sz w:val="20"/>
                <w:szCs w:val="20"/>
              </w:rPr>
            </w:pPr>
            <w:r w:rsidRPr="00E94BBC">
              <w:rPr>
                <w:rFonts w:ascii="Times New Roman" w:eastAsia="Times New Roman" w:hAnsi="Times New Roman" w:cs="Times New Roman"/>
                <w:sz w:val="20"/>
                <w:szCs w:val="20"/>
              </w:rPr>
              <w:t xml:space="preserve">Политиката за повишаване на интереса и увеличаване на извънкласните дейности, гарантирани за всеки ученик; допълнителна подкрепа за спорт, отдих и култура за осигуряване на широк достъп до тях и при изявени високи постижения стартира със ЗДБРБ за 2022 г. За целта през 2022 г. и през 2023 г. </w:t>
            </w:r>
            <w:r w:rsidRPr="00E94BBC">
              <w:rPr>
                <w:rFonts w:ascii="Times New Roman" w:eastAsia="Times New Roman" w:hAnsi="Times New Roman" w:cs="Times New Roman"/>
                <w:sz w:val="20"/>
                <w:szCs w:val="20"/>
              </w:rPr>
              <w:lastRenderedPageBreak/>
              <w:t>с акт на Министерския съвет се приеха Национална програма „Заедно в изкуствата и спорта“, които се изпълняват за учебна, а не за календарна година. За 2022 г. по двата модула на програмата одобрените за финансиране проекти бяха на обща стойност 29 661 272 лв. През 2023 г. одобрените проекти по програмата са на стойност 35 378 059 лв., което показва интерес от страна на училищата за развитие на политиките за извънкласни дейности и спорт. При условията на програмата финансирането се извършва на два етапа - 70 на сто през 2023 г. и до 30 на сто на база извършени разходи, но не повече от размера на одобреното финансиране. Предоставеното е ПМС № 222/2023 г. финансиране на одобрените проекти по програмата е в размер на 24 764 719 лв. За окончателно плащане по програмата за 2024 г. необходимата сума ще е в размер до 10 613 340 лв„ без разходите за администриране и мониторинг на програмата.</w:t>
            </w:r>
          </w:p>
          <w:p w:rsidR="00DC7AD7" w:rsidRPr="00330BB6" w:rsidRDefault="00DC7AD7" w:rsidP="00097BFC">
            <w:pPr>
              <w:spacing w:after="60" w:line="240" w:lineRule="auto"/>
              <w:jc w:val="both"/>
              <w:rPr>
                <w:rFonts w:ascii="Times New Roman" w:eastAsia="Times New Roman" w:hAnsi="Times New Roman" w:cs="Times New Roman"/>
                <w:b/>
                <w:sz w:val="20"/>
                <w:szCs w:val="20"/>
              </w:rPr>
            </w:pPr>
            <w:r w:rsidRPr="00E94BBC">
              <w:rPr>
                <w:rFonts w:ascii="Times New Roman" w:eastAsia="Times New Roman" w:hAnsi="Times New Roman" w:cs="Times New Roman"/>
                <w:sz w:val="20"/>
                <w:szCs w:val="20"/>
              </w:rPr>
              <w:t>В случай, че за 2024 г. в централния бюджет се разчетат 25 302,6 хил. лв., то след разплащане на сумите по приетата програма през 2023 г. остатъкът, който ще може да се използва за нова национална програма ще бъде в размер до 14 689,3 хил. лв„ което е крайно недостатъчно да се удовлетворят потребностите и интереса на училищата към развитието политиките за извънкласни дейности и училищен спорт.</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Не се приема</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9D2328" w:rsidRDefault="00DC7AD7" w:rsidP="00DC7AD7">
            <w:pPr>
              <w:spacing w:after="0" w:line="240" w:lineRule="auto"/>
              <w:jc w:val="both"/>
              <w:rPr>
                <w:rFonts w:ascii="Times New Roman" w:eastAsia="Times New Roman" w:hAnsi="Times New Roman" w:cs="Times New Roman"/>
                <w:sz w:val="20"/>
                <w:szCs w:val="20"/>
                <w:lang w:eastAsia="bg-BG"/>
              </w:rPr>
            </w:pPr>
            <w:r w:rsidRPr="009D2328">
              <w:rPr>
                <w:rFonts w:ascii="Times New Roman" w:eastAsia="Times New Roman" w:hAnsi="Times New Roman" w:cs="Times New Roman"/>
                <w:sz w:val="20"/>
                <w:szCs w:val="20"/>
                <w:lang w:eastAsia="bg-BG"/>
              </w:rPr>
              <w:t xml:space="preserve">Предложеният размер на разходите по централния бюджет е съобразен с възможностите на държавния бюджет за 2024 г., базиран на есенната макроикономическа прогноза на Министерството на финансите, на действащото законодателство, прилагане на възприетите политики и допускания от </w:t>
            </w:r>
            <w:r w:rsidRPr="009D2328">
              <w:rPr>
                <w:rFonts w:ascii="Times New Roman" w:eastAsia="Times New Roman" w:hAnsi="Times New Roman" w:cs="Times New Roman"/>
                <w:sz w:val="20"/>
                <w:szCs w:val="20"/>
                <w:lang w:eastAsia="bg-BG"/>
              </w:rPr>
              <w:lastRenderedPageBreak/>
              <w:t>правителството за периода 2024-2026 г., отчетни данни и оценка на възможностите за реализиране на инвестиционните разходи в рамките на бюджетната година, предприетите оптимизиращи приходни и разходни мерки със съответните ефекти и предложения за законодателни промени.</w:t>
            </w:r>
          </w:p>
          <w:p w:rsidR="00DC7AD7" w:rsidRDefault="00DC7AD7" w:rsidP="00DC7AD7">
            <w:pPr>
              <w:spacing w:after="0" w:line="240" w:lineRule="auto"/>
              <w:jc w:val="both"/>
              <w:rPr>
                <w:rFonts w:ascii="Times New Roman" w:eastAsia="Times New Roman" w:hAnsi="Times New Roman" w:cs="Times New Roman"/>
                <w:sz w:val="20"/>
                <w:szCs w:val="20"/>
                <w:lang w:eastAsia="bg-BG"/>
              </w:rPr>
            </w:pPr>
            <w:r w:rsidRPr="009D2328">
              <w:rPr>
                <w:rFonts w:ascii="Times New Roman" w:eastAsia="Times New Roman" w:hAnsi="Times New Roman" w:cs="Times New Roman"/>
                <w:sz w:val="20"/>
                <w:szCs w:val="20"/>
                <w:lang w:eastAsia="bg-BG"/>
              </w:rPr>
              <w:t>В тази връзка и предвид ограниченото фискално пространство, на този етап предложения за увеличения в разходната част не биха могли да бъдат удовлетворени.</w:t>
            </w:r>
          </w:p>
          <w:p w:rsidR="00DC7AD7" w:rsidRDefault="00DC7AD7" w:rsidP="00DC7AD7">
            <w:pPr>
              <w:spacing w:after="0" w:line="240" w:lineRule="auto"/>
              <w:jc w:val="both"/>
              <w:rPr>
                <w:rFonts w:ascii="Times New Roman" w:eastAsia="Times New Roman" w:hAnsi="Times New Roman" w:cs="Times New Roman"/>
                <w:sz w:val="20"/>
                <w:szCs w:val="20"/>
                <w:lang w:eastAsia="bg-BG"/>
              </w:rPr>
            </w:pPr>
          </w:p>
          <w:p w:rsidR="00DC7AD7" w:rsidRDefault="00DC7AD7" w:rsidP="00DC7AD7">
            <w:pPr>
              <w:spacing w:after="0" w:line="240" w:lineRule="auto"/>
              <w:jc w:val="both"/>
              <w:rPr>
                <w:rFonts w:ascii="Times New Roman" w:eastAsia="Times New Roman" w:hAnsi="Times New Roman" w:cs="Times New Roman"/>
                <w:sz w:val="20"/>
                <w:szCs w:val="20"/>
                <w:lang w:eastAsia="bg-BG"/>
              </w:rPr>
            </w:pPr>
          </w:p>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330BB6">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E94BBC" w:rsidRDefault="00DC7AD7" w:rsidP="00596248">
            <w:pPr>
              <w:spacing w:after="60" w:line="240" w:lineRule="auto"/>
              <w:jc w:val="both"/>
              <w:rPr>
                <w:rFonts w:ascii="Times New Roman" w:eastAsia="Times New Roman" w:hAnsi="Times New Roman" w:cs="Times New Roman"/>
                <w:sz w:val="20"/>
                <w:szCs w:val="20"/>
              </w:rPr>
            </w:pPr>
            <w:r w:rsidRPr="00330BB6">
              <w:rPr>
                <w:rFonts w:ascii="Times New Roman" w:eastAsia="Times New Roman" w:hAnsi="Times New Roman" w:cs="Times New Roman"/>
                <w:b/>
                <w:sz w:val="20"/>
                <w:szCs w:val="20"/>
              </w:rPr>
              <w:t>5.</w:t>
            </w:r>
            <w:r w:rsidR="00596248">
              <w:rPr>
                <w:rFonts w:ascii="Times New Roman" w:eastAsia="Times New Roman" w:hAnsi="Times New Roman" w:cs="Times New Roman"/>
                <w:sz w:val="20"/>
                <w:szCs w:val="20"/>
              </w:rPr>
              <w:t xml:space="preserve"> </w:t>
            </w:r>
            <w:r w:rsidRPr="00E94BBC">
              <w:rPr>
                <w:rFonts w:ascii="Times New Roman" w:eastAsia="Times New Roman" w:hAnsi="Times New Roman" w:cs="Times New Roman"/>
                <w:sz w:val="20"/>
                <w:szCs w:val="20"/>
              </w:rPr>
              <w:t>В чл.</w:t>
            </w:r>
            <w:r w:rsidR="004B1346">
              <w:rPr>
                <w:rFonts w:ascii="Times New Roman" w:eastAsia="Times New Roman" w:hAnsi="Times New Roman" w:cs="Times New Roman"/>
                <w:sz w:val="20"/>
                <w:szCs w:val="20"/>
              </w:rPr>
              <w:t xml:space="preserve"> </w:t>
            </w:r>
            <w:r w:rsidRPr="00E94BBC">
              <w:rPr>
                <w:rFonts w:ascii="Times New Roman" w:eastAsia="Times New Roman" w:hAnsi="Times New Roman" w:cs="Times New Roman"/>
                <w:sz w:val="20"/>
                <w:szCs w:val="20"/>
              </w:rPr>
              <w:t xml:space="preserve">95 от проекта на Закон за държавния бюджет на Република България за 2024 г. предлагаме да се уточнят разпоредителите с бюджет, към които е насочено изпълнението на разпоредбата. Законът за предучилищното и училищното образование (ЗПУО) урежда правилата за управление на делегиран бюджет в образованието, поради което считаме че посочената разпоредба за регламентиране на съотношението на разходите за издръжка и разходите за персонал не е в съответствие с чл. 289, ал. 1 от ЗПУО. Ежегодно с Решение на Министерския съвет се определят размерите на над 70 стандарта, допълващи стандарти и нормативи за функция „Образование“, които имат различно предназначение и въвеждането на допълнителни правила за разходването им би могло да се предприеме само след задълбочен анализ. За предложената разпоредба не се намират никакви аргументи в доклада и в мотивите към законопроекта за държавен бюджет. Считаме, че със същата се нарушават принципите на делегираните бюджети като цяло и в частност - противоречи на правомощията на директорите на образователни институции, дадени със ЗПУО, а именно да определят числеността на персонала, работните заплати, средствата за издръжка и за капиталови разходи. В тази </w:t>
            </w:r>
            <w:r w:rsidRPr="00E94BBC">
              <w:rPr>
                <w:rFonts w:ascii="Times New Roman" w:eastAsia="Times New Roman" w:hAnsi="Times New Roman" w:cs="Times New Roman"/>
                <w:sz w:val="20"/>
                <w:szCs w:val="20"/>
              </w:rPr>
              <w:lastRenderedPageBreak/>
              <w:t>връзка предлагаме чл. 95 от проекта на Закон да отпадне или като компромисен вариант - системата на образованието да бъде извадена от предложената редакция на текста.</w:t>
            </w:r>
          </w:p>
        </w:tc>
        <w:tc>
          <w:tcPr>
            <w:tcW w:w="574" w:type="pct"/>
            <w:shd w:val="clear" w:color="auto" w:fill="auto"/>
          </w:tcPr>
          <w:p w:rsidR="00DC7AD7" w:rsidRPr="00657A5B" w:rsidRDefault="00AA6B55"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Не се приема</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935B60" w:rsidRDefault="00DC7AD7" w:rsidP="00DC7AD7">
            <w:pPr>
              <w:spacing w:after="0" w:line="240" w:lineRule="auto"/>
              <w:jc w:val="both"/>
              <w:rPr>
                <w:rFonts w:ascii="Times New Roman" w:eastAsia="Times New Roman" w:hAnsi="Times New Roman" w:cs="Times New Roman"/>
                <w:sz w:val="20"/>
                <w:szCs w:val="20"/>
              </w:rPr>
            </w:pPr>
            <w:r w:rsidRPr="00935B60">
              <w:rPr>
                <w:rFonts w:ascii="Times New Roman" w:hAnsi="Times New Roman" w:cs="Times New Roman"/>
                <w:sz w:val="20"/>
                <w:szCs w:val="20"/>
              </w:rPr>
              <w:t>Разпоредбата цели подобряване на финансовата дисциплина при разходването на средствата от държавния бюджет за финансиране на делегираните от държавата дейности, вкл. и в делегираните бюджети, в посочените сфери, чрез регламентиране на минимално ниво на разходите за издръжка, в т.ч.  разходите за материали, външни услуги, вода, горива, енергия и други, така че да се обезпечи нормалното функциониране на съответните институции. Текста на разпоредбата не противоречи на чл. 289, ал. 1 от ЗПУО, доколкото с него не се регламентира определянето на средствата за издръжка от директорите на училищата, като в същото време се запазва правото им да се разпореждат със средствата на училището.</w:t>
            </w:r>
          </w:p>
        </w:tc>
      </w:tr>
      <w:tr w:rsidR="00DC7AD7" w:rsidRPr="00F62685" w:rsidTr="00330BB6">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E94BBC" w:rsidRDefault="00DC7AD7" w:rsidP="00097BFC">
            <w:pPr>
              <w:spacing w:after="60" w:line="240" w:lineRule="auto"/>
              <w:jc w:val="both"/>
              <w:rPr>
                <w:rFonts w:ascii="Times New Roman" w:eastAsia="Times New Roman" w:hAnsi="Times New Roman" w:cs="Times New Roman"/>
                <w:sz w:val="20"/>
                <w:szCs w:val="20"/>
              </w:rPr>
            </w:pPr>
            <w:r w:rsidRPr="00330BB6">
              <w:rPr>
                <w:rFonts w:ascii="Times New Roman" w:eastAsia="Times New Roman" w:hAnsi="Times New Roman" w:cs="Times New Roman"/>
                <w:b/>
                <w:sz w:val="20"/>
                <w:szCs w:val="20"/>
              </w:rPr>
              <w:t>II.</w:t>
            </w:r>
            <w:r w:rsidR="00596248">
              <w:rPr>
                <w:rFonts w:ascii="Times New Roman" w:eastAsia="Times New Roman" w:hAnsi="Times New Roman" w:cs="Times New Roman"/>
                <w:sz w:val="20"/>
                <w:szCs w:val="20"/>
              </w:rPr>
              <w:t xml:space="preserve"> </w:t>
            </w:r>
            <w:r w:rsidRPr="00E94BBC">
              <w:rPr>
                <w:rFonts w:ascii="Times New Roman" w:eastAsia="Times New Roman" w:hAnsi="Times New Roman" w:cs="Times New Roman"/>
                <w:sz w:val="20"/>
                <w:szCs w:val="20"/>
              </w:rPr>
              <w:t>По проекта на актуализираната средносрочна бюджетна прогноза за периода</w:t>
            </w:r>
          </w:p>
          <w:p w:rsidR="00DC7AD7" w:rsidRPr="00E94BBC" w:rsidRDefault="00DC7AD7" w:rsidP="00097BFC">
            <w:pPr>
              <w:spacing w:after="60" w:line="240" w:lineRule="auto"/>
              <w:jc w:val="both"/>
              <w:rPr>
                <w:rFonts w:ascii="Times New Roman" w:eastAsia="Times New Roman" w:hAnsi="Times New Roman" w:cs="Times New Roman"/>
                <w:sz w:val="20"/>
                <w:szCs w:val="20"/>
              </w:rPr>
            </w:pPr>
            <w:r w:rsidRPr="00E94BBC">
              <w:rPr>
                <w:rFonts w:ascii="Times New Roman" w:eastAsia="Times New Roman" w:hAnsi="Times New Roman" w:cs="Times New Roman"/>
                <w:sz w:val="20"/>
                <w:szCs w:val="20"/>
              </w:rPr>
              <w:t>2024-2026 г.</w:t>
            </w:r>
          </w:p>
          <w:p w:rsidR="00DC7AD7" w:rsidRPr="00330BB6" w:rsidRDefault="00DC7AD7" w:rsidP="00097BFC">
            <w:pPr>
              <w:spacing w:after="60" w:line="240" w:lineRule="auto"/>
              <w:jc w:val="both"/>
              <w:rPr>
                <w:rFonts w:ascii="Times New Roman" w:eastAsia="Times New Roman" w:hAnsi="Times New Roman" w:cs="Times New Roman"/>
                <w:b/>
                <w:sz w:val="20"/>
                <w:szCs w:val="20"/>
              </w:rPr>
            </w:pPr>
            <w:r w:rsidRPr="00330BB6">
              <w:rPr>
                <w:rFonts w:ascii="Times New Roman" w:eastAsia="Times New Roman" w:hAnsi="Times New Roman" w:cs="Times New Roman"/>
                <w:b/>
                <w:sz w:val="20"/>
                <w:szCs w:val="20"/>
              </w:rPr>
              <w:t>1.</w:t>
            </w:r>
            <w:r w:rsidRPr="00E94BBC">
              <w:rPr>
                <w:rFonts w:ascii="Times New Roman" w:eastAsia="Times New Roman" w:hAnsi="Times New Roman" w:cs="Times New Roman"/>
                <w:sz w:val="20"/>
                <w:szCs w:val="20"/>
              </w:rPr>
              <w:t xml:space="preserve"> С оглед прецизност на документа предлагаме на стр. 14 и стр. 89 категорията „педагогически персонал“ да се замени с „педагозите“ в следния текст: „2,3 млн. лв. за увеличение на възнагражденията на педагогическия персонал в детските ясли за достигане на средна работна заплата не по-малко от 125 на сто от средната работна заплата за страната през 2024 г.“ Детските ясли са структури към функция „Здравеопазване“ и работещите в тях нямат статут на педагогически специалисти.</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Приема се</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F7148F"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Отразено в проекта на АСБП за периода 2024-2026 г.</w:t>
            </w:r>
          </w:p>
        </w:tc>
      </w:tr>
      <w:tr w:rsidR="00DC7AD7" w:rsidRPr="00F62685" w:rsidTr="00330BB6">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E94BBC" w:rsidRDefault="00DC7AD7" w:rsidP="00097BFC">
            <w:pPr>
              <w:spacing w:after="60" w:line="240" w:lineRule="auto"/>
              <w:jc w:val="both"/>
              <w:rPr>
                <w:rFonts w:ascii="Times New Roman" w:eastAsia="Times New Roman" w:hAnsi="Times New Roman" w:cs="Times New Roman"/>
                <w:sz w:val="20"/>
                <w:szCs w:val="20"/>
              </w:rPr>
            </w:pPr>
            <w:r w:rsidRPr="00330BB6">
              <w:rPr>
                <w:rFonts w:ascii="Times New Roman" w:eastAsia="Times New Roman" w:hAnsi="Times New Roman" w:cs="Times New Roman"/>
                <w:b/>
                <w:sz w:val="20"/>
                <w:szCs w:val="20"/>
              </w:rPr>
              <w:t>2.</w:t>
            </w:r>
            <w:r w:rsidRPr="00E94BBC">
              <w:rPr>
                <w:rFonts w:ascii="Times New Roman" w:eastAsia="Times New Roman" w:hAnsi="Times New Roman" w:cs="Times New Roman"/>
                <w:sz w:val="20"/>
                <w:szCs w:val="20"/>
              </w:rPr>
              <w:t xml:space="preserve"> Предлагаме нова редакция на изречението „За осигуряване на политиките за устойчиво развитие и разширяване на достъпа до висше образование на държавните висши училища за 2024 г. са осигурени допълнителни средства, в размер на 198,9 млн. лв., разпределени както следва:..“ на страница 94:</w:t>
            </w:r>
          </w:p>
          <w:p w:rsidR="00DC7AD7" w:rsidRPr="00E94BBC" w:rsidRDefault="00DC7AD7" w:rsidP="00097BFC">
            <w:pPr>
              <w:spacing w:after="60" w:line="240" w:lineRule="auto"/>
              <w:jc w:val="both"/>
              <w:rPr>
                <w:rFonts w:ascii="Times New Roman" w:eastAsia="Times New Roman" w:hAnsi="Times New Roman" w:cs="Times New Roman"/>
                <w:sz w:val="20"/>
                <w:szCs w:val="20"/>
              </w:rPr>
            </w:pPr>
            <w:r w:rsidRPr="00E94BBC">
              <w:rPr>
                <w:rFonts w:ascii="Times New Roman" w:eastAsia="Times New Roman" w:hAnsi="Times New Roman" w:cs="Times New Roman"/>
                <w:sz w:val="20"/>
                <w:szCs w:val="20"/>
              </w:rPr>
              <w:t>„За осигуряване на политиките за устойчиво развитие и разширяване на достъпа до висше образование и развитие на науката за 2024 г. са осигурени допълнителни средства, в размер на 198,9 млн. лв., разпределени както следва:..“.</w:t>
            </w:r>
          </w:p>
          <w:p w:rsidR="00DC7AD7" w:rsidRDefault="00DC7AD7" w:rsidP="00097BFC">
            <w:pPr>
              <w:spacing w:after="60" w:line="240" w:lineRule="auto"/>
              <w:jc w:val="both"/>
              <w:rPr>
                <w:rFonts w:ascii="Times New Roman" w:eastAsia="Times New Roman" w:hAnsi="Times New Roman" w:cs="Times New Roman"/>
                <w:sz w:val="20"/>
                <w:szCs w:val="20"/>
              </w:rPr>
            </w:pPr>
            <w:r w:rsidRPr="00E94BBC">
              <w:rPr>
                <w:rFonts w:ascii="Times New Roman" w:eastAsia="Times New Roman" w:hAnsi="Times New Roman" w:cs="Times New Roman"/>
                <w:sz w:val="20"/>
                <w:szCs w:val="20"/>
              </w:rPr>
              <w:t>Мотивът ни за това е, че при изброяване на допълнителните средства за 2024 г., освен средства за висше образование са включени и средства за развитие на политиките</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E94BBC">
              <w:rPr>
                <w:rFonts w:ascii="Times New Roman" w:eastAsia="Times New Roman" w:hAnsi="Times New Roman" w:cs="Times New Roman"/>
                <w:sz w:val="20"/>
                <w:szCs w:val="20"/>
              </w:rPr>
              <w:t>в областта на науката за изграждането на изчислителен капацитет от Института за научни изследвания в областта на компютърните науки към Софийски университет „Св. Климент Охридски“ (INSAIT).</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Приема се</w:t>
            </w:r>
            <w:r w:rsidR="007A2781" w:rsidRPr="00657A5B">
              <w:rPr>
                <w:rFonts w:ascii="Times New Roman" w:eastAsia="Times New Roman" w:hAnsi="Times New Roman" w:cs="Times New Roman"/>
                <w:b/>
                <w:sz w:val="20"/>
                <w:szCs w:val="20"/>
              </w:rPr>
              <w:t xml:space="preserve"> по принцип</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Default="00F7148F"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Отразено в проекта на АСБП за периода 2024-2026 г.</w:t>
            </w:r>
            <w:r w:rsidR="007A2781">
              <w:rPr>
                <w:rFonts w:ascii="Times New Roman" w:eastAsia="Times New Roman" w:hAnsi="Times New Roman" w:cs="Times New Roman"/>
                <w:sz w:val="20"/>
                <w:szCs w:val="20"/>
              </w:rPr>
              <w:t xml:space="preserve"> с редакция.</w:t>
            </w:r>
          </w:p>
          <w:p w:rsidR="007A2781" w:rsidRPr="00F62685" w:rsidRDefault="007A2781" w:rsidP="00DC7AD7">
            <w:pPr>
              <w:spacing w:after="0" w:line="240" w:lineRule="auto"/>
              <w:jc w:val="both"/>
              <w:rPr>
                <w:rFonts w:ascii="Times New Roman" w:eastAsia="Times New Roman" w:hAnsi="Times New Roman" w:cs="Times New Roman"/>
                <w:sz w:val="20"/>
                <w:szCs w:val="20"/>
              </w:rPr>
            </w:pPr>
          </w:p>
        </w:tc>
      </w:tr>
      <w:tr w:rsidR="001046E0" w:rsidRPr="00F62685" w:rsidTr="001046E0">
        <w:trPr>
          <w:trHeight w:val="64"/>
        </w:trPr>
        <w:tc>
          <w:tcPr>
            <w:tcW w:w="941" w:type="pct"/>
            <w:shd w:val="clear" w:color="auto" w:fill="auto"/>
          </w:tcPr>
          <w:p w:rsidR="001046E0" w:rsidRPr="00F62685" w:rsidRDefault="001046E0"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1046E0" w:rsidRPr="000B65D8" w:rsidRDefault="001046E0" w:rsidP="00097BFC">
            <w:pPr>
              <w:spacing w:after="60" w:line="240" w:lineRule="auto"/>
              <w:jc w:val="both"/>
              <w:rPr>
                <w:rFonts w:ascii="Times New Roman" w:eastAsia="Times New Roman" w:hAnsi="Times New Roman" w:cs="Times New Roman"/>
                <w:sz w:val="20"/>
                <w:szCs w:val="20"/>
              </w:rPr>
            </w:pPr>
            <w:r w:rsidRPr="000B65D8">
              <w:rPr>
                <w:rFonts w:ascii="Times New Roman" w:eastAsia="Times New Roman" w:hAnsi="Times New Roman" w:cs="Times New Roman"/>
                <w:sz w:val="20"/>
                <w:szCs w:val="20"/>
              </w:rPr>
              <w:t xml:space="preserve">За осигуряване на провежданите от Министерството на образованието и науката политики в изпълнение на действащото законодателство в областта на предучилищното и училищното образование, на висшето образование и науката, на Националната програма за развитие БЪЛГАРИЯ 2030, на Стратегическата рамка за развитие на образованието, обучението и ученето в Република България (2021-2030), на Стратегията за развитие на висшето образование в Република България 2021-2030 г. и на Националната стратегия за развитие на научните изследвания в Република България 2017 - 2030, настояваме с проекта на бюджет за 2024 г. и бюджетната прогноза за 2025-2026 г. за осигуряване на допълнителни средства, както за </w:t>
            </w:r>
            <w:r w:rsidRPr="000B65D8">
              <w:rPr>
                <w:rFonts w:ascii="Times New Roman" w:eastAsia="Times New Roman" w:hAnsi="Times New Roman" w:cs="Times New Roman"/>
                <w:sz w:val="20"/>
                <w:szCs w:val="20"/>
              </w:rPr>
              <w:lastRenderedPageBreak/>
              <w:t>инвестиционни разходи в образованието, така и за увеличение размера на ученическите и студентските стипендии, както и разходите за персонал по бюджета на МОН, които се определят от политиката по доходите на педагогическия персонал.</w:t>
            </w:r>
          </w:p>
          <w:p w:rsidR="001046E0" w:rsidRPr="00F62685" w:rsidRDefault="000B65D8" w:rsidP="00097BFC">
            <w:pPr>
              <w:spacing w:after="60" w:line="240" w:lineRule="auto"/>
              <w:jc w:val="both"/>
              <w:rPr>
                <w:rFonts w:ascii="Times New Roman" w:eastAsia="Times New Roman" w:hAnsi="Times New Roman" w:cs="Times New Roman"/>
                <w:sz w:val="20"/>
                <w:szCs w:val="20"/>
              </w:rPr>
            </w:pPr>
            <w:r w:rsidRPr="000B65D8">
              <w:rPr>
                <w:rFonts w:ascii="Times New Roman" w:eastAsia="Times New Roman" w:hAnsi="Times New Roman" w:cs="Times New Roman"/>
                <w:sz w:val="20"/>
                <w:szCs w:val="20"/>
              </w:rPr>
              <w:t>Министерството на образованието и науката поддържа становището си, че преодоляването на изоставането на заплатите на педагогическите специалисти спрямо средната за страната работна заплата не може да бъде постигнато, ако базата за сравнение е предходна година, в случая 2023 г. В тази хипотеза учителските заплати винаги ще са в положение да догонват средната за страната работна заплата. Оптималният вариант за нарастване на възнагражденията на педагогическите специалисти е обвързването им със средната стойност от двете последователни години- предходната година и годината, в която се прави увеличението.</w:t>
            </w:r>
          </w:p>
        </w:tc>
        <w:tc>
          <w:tcPr>
            <w:tcW w:w="574" w:type="pct"/>
            <w:shd w:val="clear" w:color="auto" w:fill="auto"/>
          </w:tcPr>
          <w:p w:rsidR="001046E0" w:rsidRPr="00657A5B" w:rsidRDefault="000B65D8"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Не се приема</w:t>
            </w:r>
          </w:p>
        </w:tc>
        <w:tc>
          <w:tcPr>
            <w:tcW w:w="1617" w:type="pct"/>
            <w:shd w:val="clear" w:color="auto" w:fill="auto"/>
          </w:tcPr>
          <w:p w:rsidR="001046E0" w:rsidRPr="00F62685" w:rsidRDefault="000B65D8" w:rsidP="000B65D8">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З</w:t>
            </w:r>
            <w:r w:rsidRPr="00606682">
              <w:rPr>
                <w:rFonts w:ascii="Times New Roman" w:eastAsia="Times New Roman" w:hAnsi="Times New Roman" w:cs="Times New Roman"/>
                <w:sz w:val="20"/>
                <w:szCs w:val="20"/>
              </w:rPr>
              <w:t>а увеличение на заплатите на педагогическите специалисти за достигане на средна работна заплата не по-малко от 125 на сто от средната работна заплата за страната през 2024 г.</w:t>
            </w:r>
            <w:r>
              <w:rPr>
                <w:rFonts w:ascii="Times New Roman" w:eastAsia="Times New Roman" w:hAnsi="Times New Roman" w:cs="Times New Roman"/>
                <w:sz w:val="20"/>
                <w:szCs w:val="20"/>
              </w:rPr>
              <w:t xml:space="preserve"> е приета база прогнозна СБРЗ за 2023 г., с ръст на РЗ от 8%. Прилагането на предложения от МОН подход за определяне базата за изчисление ръста на СБРЗ за </w:t>
            </w:r>
            <w:proofErr w:type="spellStart"/>
            <w:r>
              <w:rPr>
                <w:rFonts w:ascii="Times New Roman" w:eastAsia="Times New Roman" w:hAnsi="Times New Roman" w:cs="Times New Roman"/>
                <w:sz w:val="20"/>
                <w:szCs w:val="20"/>
              </w:rPr>
              <w:t>педаг</w:t>
            </w:r>
            <w:proofErr w:type="spellEnd"/>
            <w:r>
              <w:rPr>
                <w:rFonts w:ascii="Times New Roman" w:eastAsia="Times New Roman" w:hAnsi="Times New Roman" w:cs="Times New Roman"/>
                <w:sz w:val="20"/>
                <w:szCs w:val="20"/>
              </w:rPr>
              <w:t xml:space="preserve">. персонал е неприемливо, тъй като обхваща два прогнозни периода – </w:t>
            </w:r>
            <w:r>
              <w:rPr>
                <w:rFonts w:ascii="Times New Roman" w:eastAsia="Times New Roman" w:hAnsi="Times New Roman" w:cs="Times New Roman"/>
                <w:sz w:val="20"/>
                <w:szCs w:val="20"/>
                <w:lang w:val="en-US"/>
              </w:rPr>
              <w:t>III</w:t>
            </w:r>
            <w:r>
              <w:rPr>
                <w:rFonts w:ascii="Times New Roman" w:eastAsia="Times New Roman" w:hAnsi="Times New Roman" w:cs="Times New Roman"/>
                <w:sz w:val="20"/>
                <w:szCs w:val="20"/>
              </w:rPr>
              <w:t>-то и</w:t>
            </w:r>
            <w:r w:rsidRPr="00A74642">
              <w:rPr>
                <w:rFonts w:ascii="Times New Roman" w:eastAsia="Times New Roman" w:hAnsi="Times New Roman" w:cs="Times New Roman"/>
                <w:sz w:val="20"/>
                <w:szCs w:val="20"/>
                <w:lang w:val="ru-RU"/>
              </w:rPr>
              <w:t xml:space="preserve"> </w:t>
            </w:r>
            <w:r>
              <w:rPr>
                <w:rFonts w:ascii="Times New Roman" w:eastAsia="Times New Roman" w:hAnsi="Times New Roman" w:cs="Times New Roman"/>
                <w:sz w:val="20"/>
                <w:szCs w:val="20"/>
                <w:lang w:val="en-US"/>
              </w:rPr>
              <w:t>IV</w:t>
            </w:r>
            <w:r>
              <w:rPr>
                <w:rFonts w:ascii="Times New Roman" w:eastAsia="Times New Roman" w:hAnsi="Times New Roman" w:cs="Times New Roman"/>
                <w:sz w:val="20"/>
                <w:szCs w:val="20"/>
              </w:rPr>
              <w:t>-то тримесечие на текущата година и</w:t>
            </w:r>
            <w:r w:rsidRPr="00A74642">
              <w:rPr>
                <w:rFonts w:ascii="Times New Roman" w:eastAsia="Times New Roman" w:hAnsi="Times New Roman" w:cs="Times New Roman"/>
                <w:sz w:val="20"/>
                <w:szCs w:val="20"/>
                <w:lang w:val="ru-RU"/>
              </w:rPr>
              <w:t xml:space="preserve"> </w:t>
            </w:r>
            <w:r>
              <w:rPr>
                <w:rFonts w:ascii="Times New Roman" w:eastAsia="Times New Roman" w:hAnsi="Times New Roman" w:cs="Times New Roman"/>
                <w:sz w:val="20"/>
                <w:szCs w:val="20"/>
                <w:lang w:val="en-US"/>
              </w:rPr>
              <w:t>I</w:t>
            </w:r>
            <w:r>
              <w:rPr>
                <w:rFonts w:ascii="Times New Roman" w:eastAsia="Times New Roman" w:hAnsi="Times New Roman" w:cs="Times New Roman"/>
                <w:sz w:val="20"/>
                <w:szCs w:val="20"/>
              </w:rPr>
              <w:t>-во и</w:t>
            </w:r>
            <w:r w:rsidRPr="00A74642">
              <w:rPr>
                <w:rFonts w:ascii="Times New Roman" w:eastAsia="Times New Roman" w:hAnsi="Times New Roman" w:cs="Times New Roman"/>
                <w:sz w:val="20"/>
                <w:szCs w:val="20"/>
                <w:lang w:val="ru-RU"/>
              </w:rPr>
              <w:t xml:space="preserve"> </w:t>
            </w:r>
            <w:r>
              <w:rPr>
                <w:rFonts w:ascii="Times New Roman" w:eastAsia="Times New Roman" w:hAnsi="Times New Roman" w:cs="Times New Roman"/>
                <w:sz w:val="20"/>
                <w:szCs w:val="20"/>
                <w:lang w:val="en-US"/>
              </w:rPr>
              <w:t>II</w:t>
            </w:r>
            <w:r>
              <w:rPr>
                <w:rFonts w:ascii="Times New Roman" w:eastAsia="Times New Roman" w:hAnsi="Times New Roman" w:cs="Times New Roman"/>
                <w:sz w:val="20"/>
                <w:szCs w:val="20"/>
              </w:rPr>
              <w:t>-</w:t>
            </w:r>
            <w:proofErr w:type="spellStart"/>
            <w:r>
              <w:rPr>
                <w:rFonts w:ascii="Times New Roman" w:eastAsia="Times New Roman" w:hAnsi="Times New Roman" w:cs="Times New Roman"/>
                <w:sz w:val="20"/>
                <w:szCs w:val="20"/>
              </w:rPr>
              <w:t>ро</w:t>
            </w:r>
            <w:proofErr w:type="spellEnd"/>
            <w:r>
              <w:rPr>
                <w:rFonts w:ascii="Times New Roman" w:eastAsia="Times New Roman" w:hAnsi="Times New Roman" w:cs="Times New Roman"/>
                <w:sz w:val="20"/>
                <w:szCs w:val="20"/>
              </w:rPr>
              <w:t xml:space="preserve"> тримесечие на следващата, което може да доведе до сериозно отклонение от реално достигнатата СБРЗ, както и да увеличи диспропорцията на </w:t>
            </w:r>
            <w:r>
              <w:rPr>
                <w:rFonts w:ascii="Times New Roman" w:eastAsia="Times New Roman" w:hAnsi="Times New Roman" w:cs="Times New Roman"/>
                <w:sz w:val="20"/>
                <w:szCs w:val="20"/>
              </w:rPr>
              <w:lastRenderedPageBreak/>
              <w:t>възнагражденията между педагогическите специалисти и останалите длъжности, на заетите в публичния сектор.</w:t>
            </w: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МИНИСТЕРСТВО НА ЗДРАВЕОПАЗВАНЕТО</w:t>
            </w: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Министерство на здравеопазването, на основание чл. 33, ал. 1 от УПМСНА, съгласува представените документи относно проекта на решение на Министерския съвет за одобряване на законопроект за държавния бюджет на Република България за 2024 г.</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МЗ предлага с проекта на закон да бъдат осигурени допълнителни средства по бюджета на Министерство на здравеопазването за 2024 г., необходими за финансиране на непредвидени дейности, както и за обезпечаване на предвидени за изпълнение политики, програми, мерки и дейности, които са заложени за постигане на приоритетите и целите в сектор „Здравеопазване“ през 2024 г., както следва:</w:t>
            </w:r>
          </w:p>
          <w:p w:rsidR="00DC7AD7" w:rsidRPr="00F62685" w:rsidRDefault="00DC7AD7"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1. Допълнителни средства в размер на 45 136,5 хил. лв. - за </w:t>
            </w:r>
            <w:proofErr w:type="spellStart"/>
            <w:r w:rsidRPr="00F62685">
              <w:rPr>
                <w:rFonts w:ascii="Times New Roman" w:eastAsia="Times New Roman" w:hAnsi="Times New Roman" w:cs="Times New Roman"/>
                <w:sz w:val="20"/>
                <w:szCs w:val="20"/>
              </w:rPr>
              <w:t>дофинансиране</w:t>
            </w:r>
            <w:proofErr w:type="spellEnd"/>
            <w:r w:rsidRPr="00F62685">
              <w:rPr>
                <w:rFonts w:ascii="Times New Roman" w:eastAsia="Times New Roman" w:hAnsi="Times New Roman" w:cs="Times New Roman"/>
                <w:sz w:val="20"/>
                <w:szCs w:val="20"/>
              </w:rPr>
              <w:t xml:space="preserve"> на дейности по проект BG16RFOP001-4.001-0001 „Подкрепа за развитие на системата за спешна медицинска помощ”, финансиран по Оперативна програма „Региони в растеж” 2014-2020, които ще приключат и следва да бъдат разплатени от Министерство на здравеопазването през 2024-2025 г. </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Основната цел на проекта е осигуряване на качествен, равнопоставен и навременен достъп до услугите на спешна медицинска помощ на гражданите на Република България и пребиваващите на нейна територия лица. Бюджетът на проекта е 163 000,0 хил. лв., а крайният срок за изпълнението му е 23.12.2023 г. След приключване на този срок, проектът ще се </w:t>
            </w:r>
            <w:r w:rsidRPr="00F62685">
              <w:rPr>
                <w:rFonts w:ascii="Times New Roman" w:eastAsia="Times New Roman" w:hAnsi="Times New Roman" w:cs="Times New Roman"/>
                <w:sz w:val="20"/>
                <w:szCs w:val="20"/>
              </w:rPr>
              <w:lastRenderedPageBreak/>
              <w:t>изпълнява в хипотезата на неактивен, като всички останали дейности следва да бъдат изпълнени и разплатени до 30.06.2025 г. с бюджетни средства с цел постигане на заложените индикатори. При неизпълнение на заложените в проекта цели и резултати Европейската комисия може да наложи финансова корекция на Министерство на здравеопазването. Изразходваните към момента средства по Договора за безвъзмездна финансова помощ са в размер на 103 912,9 хил. лв.</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 xml:space="preserve">1. Не се приема  </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 </w:t>
            </w:r>
            <w:r w:rsidRPr="0074669E">
              <w:rPr>
                <w:rFonts w:ascii="Times New Roman" w:eastAsia="Times New Roman" w:hAnsi="Times New Roman" w:cs="Times New Roman"/>
                <w:sz w:val="20"/>
                <w:szCs w:val="20"/>
              </w:rPr>
              <w:t>Предложеният размер на разходите по бюджета на Министерството на здравеопазването е съобразен с възможностите на държавния бюджет за 2024 г., базиран на есенната макроикономическа прогноза на Министерството на финансите, на действащото законодателство, прилагане на възприетите политики и допускания от правителството за периода 2024-2026 г., отчетни данни и оценка на възможностите за реализиране на инвестиционните разходи в рамките на бюджетната година, предприетите оптимизиращи приходни и разходни мерки със съответните ефекти и предложения за законодателни промени.</w:t>
            </w:r>
          </w:p>
          <w:p w:rsidR="00DC7AD7" w:rsidRDefault="00DC7AD7" w:rsidP="00DC7AD7">
            <w:pPr>
              <w:spacing w:after="0" w:line="240" w:lineRule="auto"/>
              <w:jc w:val="both"/>
              <w:rPr>
                <w:rFonts w:ascii="Times New Roman" w:eastAsia="Times New Roman" w:hAnsi="Times New Roman" w:cs="Times New Roman"/>
                <w:sz w:val="20"/>
                <w:szCs w:val="20"/>
              </w:rPr>
            </w:pPr>
            <w:r w:rsidRPr="0074669E">
              <w:rPr>
                <w:rFonts w:ascii="Times New Roman" w:eastAsia="Times New Roman" w:hAnsi="Times New Roman" w:cs="Times New Roman"/>
                <w:sz w:val="20"/>
                <w:szCs w:val="20"/>
              </w:rPr>
              <w:lastRenderedPageBreak/>
              <w:t>В тази връзка и предвид ограниченото фискално пространство, на този етап предложения за увеличения в разходната част не биха могли да бъдат удовлетворени.</w:t>
            </w:r>
          </w:p>
          <w:p w:rsidR="00DC7AD7" w:rsidRPr="0044086A"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Предвид, че в бюджета за 2023 г. са предвидени 45 млн. лв. за тази цел, МЗ следва да потърси възможности за усвояване на този ресурс до края на бюджетната година, с оглед да не се прехвърлят допълнителни ангажименти за държавния бюджет през 2024 г.</w:t>
            </w:r>
          </w:p>
        </w:tc>
      </w:tr>
      <w:tr w:rsidR="00DC7AD7" w:rsidRPr="00F62685" w:rsidTr="00FB0BA0">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2. Допълнителни средства в размер на 188 932,1 хил. лв. - за </w:t>
            </w:r>
            <w:proofErr w:type="spellStart"/>
            <w:r w:rsidRPr="00F62685">
              <w:rPr>
                <w:rFonts w:ascii="Times New Roman" w:eastAsia="Times New Roman" w:hAnsi="Times New Roman" w:cs="Times New Roman"/>
                <w:sz w:val="20"/>
                <w:szCs w:val="20"/>
              </w:rPr>
              <w:t>дофинансиране</w:t>
            </w:r>
            <w:proofErr w:type="spellEnd"/>
            <w:r w:rsidRPr="00F62685">
              <w:rPr>
                <w:rFonts w:ascii="Times New Roman" w:eastAsia="Times New Roman" w:hAnsi="Times New Roman" w:cs="Times New Roman"/>
                <w:sz w:val="20"/>
                <w:szCs w:val="20"/>
              </w:rPr>
              <w:t xml:space="preserve"> на дейности по инвестиционен проект „Изграждане на капацитет за прилагане на най-съвременни методи за лечение на онкологични заболявания в България чрез създаване в гр. София на Национален център за </w:t>
            </w:r>
            <w:proofErr w:type="spellStart"/>
            <w:r w:rsidRPr="00F62685">
              <w:rPr>
                <w:rFonts w:ascii="Times New Roman" w:eastAsia="Times New Roman" w:hAnsi="Times New Roman" w:cs="Times New Roman"/>
                <w:sz w:val="20"/>
                <w:szCs w:val="20"/>
              </w:rPr>
              <w:t>лъчелечение</w:t>
            </w:r>
            <w:proofErr w:type="spellEnd"/>
            <w:r w:rsidRPr="00F62685">
              <w:rPr>
                <w:rFonts w:ascii="Times New Roman" w:eastAsia="Times New Roman" w:hAnsi="Times New Roman" w:cs="Times New Roman"/>
                <w:sz w:val="20"/>
                <w:szCs w:val="20"/>
              </w:rPr>
              <w:t xml:space="preserve"> с </w:t>
            </w:r>
            <w:proofErr w:type="spellStart"/>
            <w:r w:rsidRPr="00F62685">
              <w:rPr>
                <w:rFonts w:ascii="Times New Roman" w:eastAsia="Times New Roman" w:hAnsi="Times New Roman" w:cs="Times New Roman"/>
                <w:sz w:val="20"/>
                <w:szCs w:val="20"/>
              </w:rPr>
              <w:t>протонна</w:t>
            </w:r>
            <w:proofErr w:type="spellEnd"/>
            <w:r w:rsidRPr="00F62685">
              <w:rPr>
                <w:rFonts w:ascii="Times New Roman" w:eastAsia="Times New Roman" w:hAnsi="Times New Roman" w:cs="Times New Roman"/>
                <w:sz w:val="20"/>
                <w:szCs w:val="20"/>
              </w:rPr>
              <w:t xml:space="preserve"> терапия, с фокус върху лечението на деца“. </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С писмо с изх. № 04-20-236/10.11.2023 г. Министерство на здравеопазването е уведомило Министерство на финансите относно необходимостта от осигуряване на средства за този инвестиционен проект, тъй като на 27.09.2023 г. Министерският съвет взе решение за отпадане на Компонент 2 от Инвестиция C12.I1 „Модернизиране на болничните заведения“ от Националния план за възстановяване и устойчивост. Проектът е част от Плана за действие за периода 2023-2026 г. за изпълнение на Националната здравна стратегия 2030 и от Националната стратегия за детско и юношеско здраве и педиатрична грижа 2030 за периода 2023-2025 г. До момента българските пациенти, и най-вече българските деца с онкологични заболявания, нямат достъп до лечение с </w:t>
            </w:r>
            <w:proofErr w:type="spellStart"/>
            <w:r w:rsidRPr="00F62685">
              <w:rPr>
                <w:rFonts w:ascii="Times New Roman" w:eastAsia="Times New Roman" w:hAnsi="Times New Roman" w:cs="Times New Roman"/>
                <w:sz w:val="20"/>
                <w:szCs w:val="20"/>
              </w:rPr>
              <w:t>протонна</w:t>
            </w:r>
            <w:proofErr w:type="spellEnd"/>
            <w:r w:rsidRPr="00F62685">
              <w:rPr>
                <w:rFonts w:ascii="Times New Roman" w:eastAsia="Times New Roman" w:hAnsi="Times New Roman" w:cs="Times New Roman"/>
                <w:sz w:val="20"/>
                <w:szCs w:val="20"/>
              </w:rPr>
              <w:t xml:space="preserve"> терапия в България и в съседните ни страни. Поради това много малка част от нуждаещите се пациенти (вкл. и деца) с онкологични заболявания успяват да получат шанс за лечение с този най-съвременен и най-безвреден метод за </w:t>
            </w:r>
            <w:proofErr w:type="spellStart"/>
            <w:r w:rsidRPr="00F62685">
              <w:rPr>
                <w:rFonts w:ascii="Times New Roman" w:eastAsia="Times New Roman" w:hAnsi="Times New Roman" w:cs="Times New Roman"/>
                <w:sz w:val="20"/>
                <w:szCs w:val="20"/>
              </w:rPr>
              <w:t>лъчелечение</w:t>
            </w:r>
            <w:proofErr w:type="spellEnd"/>
            <w:r w:rsidRPr="00F62685">
              <w:rPr>
                <w:rFonts w:ascii="Times New Roman" w:eastAsia="Times New Roman" w:hAnsi="Times New Roman" w:cs="Times New Roman"/>
                <w:sz w:val="20"/>
                <w:szCs w:val="20"/>
              </w:rPr>
              <w:t xml:space="preserve">. Функционирането на такъв център е практическа стъпка в борбата с рака в район със значително по-висока смъртност от средно европейския показател. Изключителна полза от реализацията на проекта в нашата страна ще бъде възможността много тежко болни деца, лекуващи се продължително, а понякога за съжаление в рамките на целия си живот, да бъдат лекувани близо до дома и семействата си. Това е критерият, който има отражение върху цялостния резултат от провежданото лечение. Очакваният резултат от изпълнението на дейността по инвестиционния проект е осигурен достъп до високоспециализирани медицински услуги за </w:t>
            </w:r>
            <w:proofErr w:type="spellStart"/>
            <w:r w:rsidRPr="00F62685">
              <w:rPr>
                <w:rFonts w:ascii="Times New Roman" w:eastAsia="Times New Roman" w:hAnsi="Times New Roman" w:cs="Times New Roman"/>
                <w:sz w:val="20"/>
                <w:szCs w:val="20"/>
              </w:rPr>
              <w:t>лъчелечение</w:t>
            </w:r>
            <w:proofErr w:type="spellEnd"/>
            <w:r w:rsidRPr="00F62685">
              <w:rPr>
                <w:rFonts w:ascii="Times New Roman" w:eastAsia="Times New Roman" w:hAnsi="Times New Roman" w:cs="Times New Roman"/>
                <w:sz w:val="20"/>
                <w:szCs w:val="20"/>
              </w:rPr>
              <w:t xml:space="preserve"> на населението в цялата страна, с фокус върху лечението на деца.</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2. Не се приема</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C87EF4"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 </w:t>
            </w:r>
            <w:r w:rsidRPr="00C87EF4">
              <w:rPr>
                <w:rFonts w:ascii="Times New Roman" w:eastAsia="Times New Roman" w:hAnsi="Times New Roman" w:cs="Times New Roman"/>
                <w:sz w:val="20"/>
                <w:szCs w:val="20"/>
              </w:rPr>
              <w:t>Предложеният размер на разходите по бюджета на Министерството на здравеопазването е съобразен с възможностите на държавния бюджет за 2024 г., базиран на есенната макроикономическа прогноза на Министерството на финансите, на действащото законодателство, прилагане на възприетите политики и допускания от правителството за периода 2024-2026 г., отчетни данни и оценка на възможностите за реализиране на инвестиционните разходи в рамките на бюджетната година, предприетите оптимизиращи приходни и разходни мерки със съответните ефекти и предложения за законодателни промени.</w:t>
            </w:r>
          </w:p>
          <w:p w:rsidR="00DC7AD7" w:rsidRDefault="00DC7AD7" w:rsidP="00DC7AD7">
            <w:pPr>
              <w:spacing w:after="0" w:line="240" w:lineRule="auto"/>
              <w:jc w:val="both"/>
              <w:rPr>
                <w:rFonts w:ascii="Times New Roman" w:eastAsia="Times New Roman" w:hAnsi="Times New Roman" w:cs="Times New Roman"/>
                <w:sz w:val="20"/>
                <w:szCs w:val="20"/>
              </w:rPr>
            </w:pPr>
            <w:r w:rsidRPr="00C87EF4">
              <w:rPr>
                <w:rFonts w:ascii="Times New Roman" w:eastAsia="Times New Roman" w:hAnsi="Times New Roman" w:cs="Times New Roman"/>
                <w:sz w:val="20"/>
                <w:szCs w:val="20"/>
              </w:rPr>
              <w:t>В тази връзка и предвид ограниченото фискално пространство, на този етап предложения за увеличения в разходната част не биха могли да бъдат удовлетворени</w:t>
            </w:r>
            <w:r>
              <w:rPr>
                <w:rFonts w:ascii="Times New Roman" w:eastAsia="Times New Roman" w:hAnsi="Times New Roman" w:cs="Times New Roman"/>
                <w:sz w:val="20"/>
                <w:szCs w:val="20"/>
              </w:rPr>
              <w:t>.</w:t>
            </w:r>
          </w:p>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FB0BA0">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3. Допълнителни средства в размер на 2 400,0 хил. лв. - за закупуване на нов дигитален графично – </w:t>
            </w:r>
            <w:proofErr w:type="spellStart"/>
            <w:r w:rsidRPr="00F62685">
              <w:rPr>
                <w:rFonts w:ascii="Times New Roman" w:eastAsia="Times New Roman" w:hAnsi="Times New Roman" w:cs="Times New Roman"/>
                <w:sz w:val="20"/>
                <w:szCs w:val="20"/>
              </w:rPr>
              <w:t>скопичен</w:t>
            </w:r>
            <w:proofErr w:type="spellEnd"/>
            <w:r w:rsidRPr="00F62685">
              <w:rPr>
                <w:rFonts w:ascii="Times New Roman" w:eastAsia="Times New Roman" w:hAnsi="Times New Roman" w:cs="Times New Roman"/>
                <w:sz w:val="20"/>
                <w:szCs w:val="20"/>
              </w:rPr>
              <w:t xml:space="preserve"> рентгенов апарат и 64-срезов компютърен </w:t>
            </w:r>
            <w:proofErr w:type="spellStart"/>
            <w:r w:rsidRPr="00F62685">
              <w:rPr>
                <w:rFonts w:ascii="Times New Roman" w:eastAsia="Times New Roman" w:hAnsi="Times New Roman" w:cs="Times New Roman"/>
                <w:sz w:val="20"/>
                <w:szCs w:val="20"/>
              </w:rPr>
              <w:t>томограф</w:t>
            </w:r>
            <w:proofErr w:type="spellEnd"/>
            <w:r w:rsidRPr="00F62685">
              <w:rPr>
                <w:rFonts w:ascii="Times New Roman" w:eastAsia="Times New Roman" w:hAnsi="Times New Roman" w:cs="Times New Roman"/>
                <w:sz w:val="20"/>
                <w:szCs w:val="20"/>
              </w:rPr>
              <w:t xml:space="preserve"> за отделението по образна диагностика в Специализирана болница за активно лечение по детски болести „Иван Митев“ ЕАД, гр. София. </w:t>
            </w:r>
          </w:p>
          <w:p w:rsidR="00DC7AD7" w:rsidRPr="00F62685" w:rsidRDefault="00DC7AD7" w:rsidP="00596248">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Апаратурата за образна диагностика в лечебното заведение не отговаря на съвременните изисквания за провеждане на рентгенови изследвания в детска възраст, като наличните апарати са </w:t>
            </w:r>
            <w:proofErr w:type="spellStart"/>
            <w:r w:rsidRPr="00F62685">
              <w:rPr>
                <w:rFonts w:ascii="Times New Roman" w:eastAsia="Times New Roman" w:hAnsi="Times New Roman" w:cs="Times New Roman"/>
                <w:sz w:val="20"/>
                <w:szCs w:val="20"/>
              </w:rPr>
              <w:t>рентгенографичен</w:t>
            </w:r>
            <w:proofErr w:type="spellEnd"/>
            <w:r w:rsidRPr="00F62685">
              <w:rPr>
                <w:rFonts w:ascii="Times New Roman" w:eastAsia="Times New Roman" w:hAnsi="Times New Roman" w:cs="Times New Roman"/>
                <w:sz w:val="20"/>
                <w:szCs w:val="20"/>
              </w:rPr>
              <w:t xml:space="preserve"> апарат </w:t>
            </w:r>
            <w:proofErr w:type="spellStart"/>
            <w:r w:rsidRPr="00F62685">
              <w:rPr>
                <w:rFonts w:ascii="Times New Roman" w:eastAsia="Times New Roman" w:hAnsi="Times New Roman" w:cs="Times New Roman"/>
                <w:sz w:val="20"/>
                <w:szCs w:val="20"/>
              </w:rPr>
              <w:t>Quantum</w:t>
            </w:r>
            <w:proofErr w:type="spellEnd"/>
            <w:r w:rsidRPr="00F62685">
              <w:rPr>
                <w:rFonts w:ascii="Times New Roman" w:eastAsia="Times New Roman" w:hAnsi="Times New Roman" w:cs="Times New Roman"/>
                <w:sz w:val="20"/>
                <w:szCs w:val="20"/>
              </w:rPr>
              <w:t xml:space="preserve"> от 2009 г. и </w:t>
            </w:r>
            <w:proofErr w:type="spellStart"/>
            <w:r w:rsidRPr="00F62685">
              <w:rPr>
                <w:rFonts w:ascii="Times New Roman" w:eastAsia="Times New Roman" w:hAnsi="Times New Roman" w:cs="Times New Roman"/>
                <w:sz w:val="20"/>
                <w:szCs w:val="20"/>
              </w:rPr>
              <w:t>рентгеноскопичен</w:t>
            </w:r>
            <w:proofErr w:type="spellEnd"/>
            <w:r w:rsidRPr="00F62685">
              <w:rPr>
                <w:rFonts w:ascii="Times New Roman" w:eastAsia="Times New Roman" w:hAnsi="Times New Roman" w:cs="Times New Roman"/>
                <w:sz w:val="20"/>
                <w:szCs w:val="20"/>
              </w:rPr>
              <w:t xml:space="preserve"> апарат от 80 – те години на миналия век. Същите често дефектират и често са извън експлоатация. Образите са с ниско качество и трудно се интерпретират, а това затруднява диагностиката и лечението на деца. Болницата няма компютърен </w:t>
            </w:r>
            <w:proofErr w:type="spellStart"/>
            <w:r w:rsidRPr="00F62685">
              <w:rPr>
                <w:rFonts w:ascii="Times New Roman" w:eastAsia="Times New Roman" w:hAnsi="Times New Roman" w:cs="Times New Roman"/>
                <w:sz w:val="20"/>
                <w:szCs w:val="20"/>
              </w:rPr>
              <w:t>томограф</w:t>
            </w:r>
            <w:proofErr w:type="spellEnd"/>
            <w:r w:rsidRPr="00F62685">
              <w:rPr>
                <w:rFonts w:ascii="Times New Roman" w:eastAsia="Times New Roman" w:hAnsi="Times New Roman" w:cs="Times New Roman"/>
                <w:sz w:val="20"/>
                <w:szCs w:val="20"/>
              </w:rPr>
              <w:t xml:space="preserve"> и достатъчен брой кабинети за ехографски изследвания. Посочената липса на качествена и съвременна апаратура за образна диагностика на деца е една от главните причини за липса на комплексно медицинско обслужване на най – малките пациенти. В момента при необходимост от провеждане на КАТ и ЯМР се налага пациентите да бъдат трансферирани в различни лечебни заведения. Много често децата са в тежко състояние и това допълнително поставя в риск здравето им.</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3. Не се приема</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C87EF4" w:rsidRDefault="00DC7AD7" w:rsidP="00DC7AD7">
            <w:pPr>
              <w:spacing w:after="0" w:line="240" w:lineRule="auto"/>
              <w:jc w:val="both"/>
              <w:rPr>
                <w:rFonts w:ascii="Times New Roman" w:eastAsia="Times New Roman" w:hAnsi="Times New Roman" w:cs="Times New Roman"/>
                <w:sz w:val="20"/>
                <w:szCs w:val="20"/>
              </w:rPr>
            </w:pPr>
            <w:r w:rsidRPr="00C87EF4">
              <w:rPr>
                <w:rFonts w:ascii="Times New Roman" w:eastAsia="Times New Roman" w:hAnsi="Times New Roman" w:cs="Times New Roman"/>
                <w:sz w:val="20"/>
                <w:szCs w:val="20"/>
              </w:rPr>
              <w:t>Предложеният размер на разходите по бюджета на Министерството на здравеопазването е съобразен с възможностите на държавния бюджет за 2024 г., базиран на есенната макроикономическа прогноза на Министерството на финансите, на действащото законодателство, прилагане на възприетите политики и допускания от правителството за периода 2024-2026 г., отчетни данни и оценка на възможностите за реализиране на инвестиционните разходи в рамките на бюджетната година, предприетите оптимизиращи приходни и разходни мерки със съответните ефекти и предложения за законодателни промени.</w:t>
            </w:r>
          </w:p>
          <w:p w:rsidR="00DC7AD7" w:rsidRDefault="00DC7AD7" w:rsidP="00DC7AD7">
            <w:pPr>
              <w:spacing w:after="0" w:line="240" w:lineRule="auto"/>
              <w:jc w:val="both"/>
              <w:rPr>
                <w:rFonts w:ascii="Times New Roman" w:eastAsia="Times New Roman" w:hAnsi="Times New Roman" w:cs="Times New Roman"/>
                <w:sz w:val="20"/>
                <w:szCs w:val="20"/>
              </w:rPr>
            </w:pPr>
            <w:r w:rsidRPr="00C87EF4">
              <w:rPr>
                <w:rFonts w:ascii="Times New Roman" w:eastAsia="Times New Roman" w:hAnsi="Times New Roman" w:cs="Times New Roman"/>
                <w:sz w:val="20"/>
                <w:szCs w:val="20"/>
              </w:rPr>
              <w:t>В тази връзка и предвид ограниченото фискално пространство, на този етап предложения за увеличения в разходната част не биха могли да бъдат удовлетворени</w:t>
            </w:r>
            <w:r>
              <w:rPr>
                <w:rFonts w:ascii="Times New Roman" w:eastAsia="Times New Roman" w:hAnsi="Times New Roman" w:cs="Times New Roman"/>
                <w:sz w:val="20"/>
                <w:szCs w:val="20"/>
              </w:rPr>
              <w:t>.</w:t>
            </w:r>
          </w:p>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FB0BA0">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4. Допълнителни средства в размер на 34 996,6 хил. лв. - за закупуване и доставка на цялото медицинско и немедицинско оборудване за новия Болничен комплекс „Многопрофилна болница за активно лечение „Св. </w:t>
            </w:r>
            <w:proofErr w:type="spellStart"/>
            <w:r w:rsidRPr="00F62685">
              <w:rPr>
                <w:rFonts w:ascii="Times New Roman" w:eastAsia="Times New Roman" w:hAnsi="Times New Roman" w:cs="Times New Roman"/>
                <w:sz w:val="20"/>
                <w:szCs w:val="20"/>
              </w:rPr>
              <w:t>Пантелеймон</w:t>
            </w:r>
            <w:proofErr w:type="spellEnd"/>
            <w:r w:rsidRPr="00F62685">
              <w:rPr>
                <w:rFonts w:ascii="Times New Roman" w:eastAsia="Times New Roman" w:hAnsi="Times New Roman" w:cs="Times New Roman"/>
                <w:sz w:val="20"/>
                <w:szCs w:val="20"/>
              </w:rPr>
              <w:t xml:space="preserve">” – Ямбол“ АД, гр. Ямбол. </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Оборудването и апаратурата следва да бъдат доставени по време на извършване на строително-монтажните работи на болничния комплекс, за да бъдат изпълнени СМР, свързани с тях, което ще доведе и до въвеждане на сградата в експлоатация с придобиване на разрешение за ползване, с оглед обезпечаване на нейното своевременно функциониране като болничен комплекс. Чрез изпълнението на инвестиционния проект ще се повиши качеството на предлаганите здравни услуги и опазване здравето на цялото население на област Ямбол, ще се подобрят условията за диагностика и лечение на пациентите на лечебното заведение и ще се осигури на хоспитализираните болни (деца и възрастни) провеждане на качествено лечение, прилагане на иновативни методи, съобразени с приложимите медицински стандарти.</w:t>
            </w:r>
          </w:p>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4. Не се приема</w:t>
            </w:r>
          </w:p>
        </w:tc>
        <w:tc>
          <w:tcPr>
            <w:tcW w:w="1617" w:type="pct"/>
            <w:shd w:val="clear" w:color="auto" w:fill="auto"/>
          </w:tcPr>
          <w:p w:rsidR="00DC7AD7" w:rsidRPr="00F62685" w:rsidRDefault="00DC7AD7" w:rsidP="00596248">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4. </w:t>
            </w:r>
            <w:r w:rsidRPr="006A7832">
              <w:rPr>
                <w:rFonts w:ascii="Times New Roman" w:eastAsia="Times New Roman" w:hAnsi="Times New Roman" w:cs="Times New Roman"/>
                <w:sz w:val="20"/>
                <w:szCs w:val="20"/>
              </w:rPr>
              <w:t>През периода 2020 г. - 2022 г. е увеличено дяловото участие на държавата в капитала на "Многопрофилна</w:t>
            </w:r>
            <w:r>
              <w:rPr>
                <w:rFonts w:ascii="Times New Roman" w:eastAsia="Times New Roman" w:hAnsi="Times New Roman" w:cs="Times New Roman"/>
                <w:sz w:val="20"/>
                <w:szCs w:val="20"/>
              </w:rPr>
              <w:t xml:space="preserve"> болница за активно лечение „</w:t>
            </w:r>
            <w:r w:rsidRPr="006A7832">
              <w:rPr>
                <w:rFonts w:ascii="Times New Roman" w:eastAsia="Times New Roman" w:hAnsi="Times New Roman" w:cs="Times New Roman"/>
                <w:sz w:val="20"/>
                <w:szCs w:val="20"/>
              </w:rPr>
              <w:t xml:space="preserve">Св. </w:t>
            </w:r>
            <w:proofErr w:type="spellStart"/>
            <w:r w:rsidRPr="006A7832">
              <w:rPr>
                <w:rFonts w:ascii="Times New Roman" w:eastAsia="Times New Roman" w:hAnsi="Times New Roman" w:cs="Times New Roman"/>
                <w:sz w:val="20"/>
                <w:szCs w:val="20"/>
              </w:rPr>
              <w:t>Пантелеймон</w:t>
            </w:r>
            <w:proofErr w:type="spellEnd"/>
            <w:r w:rsidRPr="006A7832">
              <w:rPr>
                <w:rFonts w:ascii="Times New Roman" w:eastAsia="Times New Roman" w:hAnsi="Times New Roman" w:cs="Times New Roman"/>
                <w:sz w:val="20"/>
                <w:szCs w:val="20"/>
              </w:rPr>
              <w:t>” – Ямбол" АД, гр. Ямбол, чрез парични вноски в общ размер на</w:t>
            </w:r>
            <w:r>
              <w:rPr>
                <w:rFonts w:ascii="Times New Roman" w:eastAsia="Times New Roman" w:hAnsi="Times New Roman" w:cs="Times New Roman"/>
                <w:sz w:val="20"/>
                <w:szCs w:val="20"/>
              </w:rPr>
              <w:t xml:space="preserve"> 30 818,2 хил. лв.</w:t>
            </w:r>
            <w:r w:rsidRPr="006A7832">
              <w:rPr>
                <w:rFonts w:ascii="Times New Roman" w:eastAsia="Times New Roman" w:hAnsi="Times New Roman" w:cs="Times New Roman"/>
                <w:sz w:val="24"/>
                <w:szCs w:val="20"/>
              </w:rPr>
              <w:t xml:space="preserve"> </w:t>
            </w:r>
            <w:r w:rsidRPr="006A7832">
              <w:rPr>
                <w:rFonts w:ascii="Times New Roman" w:eastAsia="Times New Roman" w:hAnsi="Times New Roman" w:cs="Times New Roman"/>
                <w:sz w:val="20"/>
                <w:szCs w:val="20"/>
              </w:rPr>
              <w:t xml:space="preserve">за изграждане на нов болничен блок. </w:t>
            </w:r>
            <w:r>
              <w:rPr>
                <w:rFonts w:ascii="Times New Roman" w:eastAsia="Times New Roman" w:hAnsi="Times New Roman" w:cs="Times New Roman"/>
                <w:sz w:val="20"/>
                <w:szCs w:val="20"/>
              </w:rPr>
              <w:t>О</w:t>
            </w:r>
            <w:r w:rsidRPr="00E172C4">
              <w:rPr>
                <w:rFonts w:ascii="Times New Roman" w:eastAsia="Times New Roman" w:hAnsi="Times New Roman" w:cs="Times New Roman"/>
                <w:sz w:val="20"/>
                <w:szCs w:val="20"/>
              </w:rPr>
              <w:t xml:space="preserve">съществяването на контрол при разходване на тези средства е изцяло в правомощията на министърът на здравеопазването в съответствие с т.5 от РМС № 266 от 2019 г.  за даване на съгласие за извършване на парична вноска в капитала на МБАЛ „Свети </w:t>
            </w:r>
            <w:proofErr w:type="spellStart"/>
            <w:r w:rsidRPr="00E172C4">
              <w:rPr>
                <w:rFonts w:ascii="Times New Roman" w:eastAsia="Times New Roman" w:hAnsi="Times New Roman" w:cs="Times New Roman"/>
                <w:sz w:val="20"/>
                <w:szCs w:val="20"/>
              </w:rPr>
              <w:t>Пантелеймон</w:t>
            </w:r>
            <w:proofErr w:type="spellEnd"/>
            <w:r w:rsidRPr="00E172C4">
              <w:rPr>
                <w:rFonts w:ascii="Times New Roman" w:eastAsia="Times New Roman" w:hAnsi="Times New Roman" w:cs="Times New Roman"/>
                <w:sz w:val="20"/>
                <w:szCs w:val="20"/>
              </w:rPr>
              <w:t xml:space="preserve">” – Ямбол АД, гр. Ямбол и в качеството си на представляващ държавата в Общото събрание на акционерите на </w:t>
            </w:r>
            <w:r>
              <w:rPr>
                <w:rFonts w:ascii="Times New Roman" w:eastAsia="Times New Roman" w:hAnsi="Times New Roman" w:cs="Times New Roman"/>
                <w:sz w:val="20"/>
                <w:szCs w:val="20"/>
              </w:rPr>
              <w:t>лечебното заведение</w:t>
            </w:r>
            <w:r w:rsidRPr="00E172C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Л</w:t>
            </w:r>
            <w:r w:rsidRPr="006A7832">
              <w:rPr>
                <w:rFonts w:ascii="Times New Roman" w:eastAsia="Times New Roman" w:hAnsi="Times New Roman" w:cs="Times New Roman"/>
                <w:sz w:val="20"/>
                <w:szCs w:val="20"/>
              </w:rPr>
              <w:t xml:space="preserve">ипсва яснота за изпълнението на проекта до момента, в т.ч. степента на приключване на съответните етапи, срок за въвеждане на обектите в експлоатация и пр., както и относно това дали от страна на МЗ е извършвана проверка на вече предоставените средства на болницата </w:t>
            </w:r>
            <w:r>
              <w:rPr>
                <w:rFonts w:ascii="Times New Roman" w:eastAsia="Times New Roman" w:hAnsi="Times New Roman" w:cs="Times New Roman"/>
                <w:sz w:val="20"/>
                <w:szCs w:val="20"/>
              </w:rPr>
              <w:t xml:space="preserve">и на извършените от нея </w:t>
            </w:r>
            <w:r w:rsidRPr="006A7832">
              <w:rPr>
                <w:rFonts w:ascii="Times New Roman" w:eastAsia="Times New Roman" w:hAnsi="Times New Roman" w:cs="Times New Roman"/>
                <w:sz w:val="20"/>
                <w:szCs w:val="20"/>
              </w:rPr>
              <w:t>плащания.</w:t>
            </w:r>
            <w:r>
              <w:rPr>
                <w:rFonts w:ascii="Times New Roman" w:eastAsia="Times New Roman" w:hAnsi="Times New Roman" w:cs="Times New Roman"/>
                <w:sz w:val="20"/>
                <w:szCs w:val="20"/>
              </w:rPr>
              <w:t xml:space="preserve"> Е</w:t>
            </w:r>
            <w:r w:rsidRPr="00CA583F">
              <w:rPr>
                <w:rFonts w:ascii="Times New Roman" w:eastAsia="Times New Roman" w:hAnsi="Times New Roman" w:cs="Times New Roman"/>
                <w:sz w:val="20"/>
                <w:szCs w:val="20"/>
              </w:rPr>
              <w:t>вентуално предоставяне на ресурс от държав</w:t>
            </w:r>
            <w:r>
              <w:rPr>
                <w:rFonts w:ascii="Times New Roman" w:eastAsia="Times New Roman" w:hAnsi="Times New Roman" w:cs="Times New Roman"/>
                <w:sz w:val="20"/>
                <w:szCs w:val="20"/>
              </w:rPr>
              <w:t>ния бюджет</w:t>
            </w:r>
            <w:r w:rsidRPr="00CA583F">
              <w:rPr>
                <w:rFonts w:ascii="Times New Roman" w:eastAsia="Times New Roman" w:hAnsi="Times New Roman" w:cs="Times New Roman"/>
                <w:sz w:val="20"/>
                <w:szCs w:val="20"/>
              </w:rPr>
              <w:t xml:space="preserve"> следва да</w:t>
            </w:r>
            <w:r>
              <w:rPr>
                <w:rFonts w:ascii="Times New Roman" w:eastAsia="Times New Roman" w:hAnsi="Times New Roman" w:cs="Times New Roman"/>
                <w:sz w:val="20"/>
                <w:szCs w:val="20"/>
              </w:rPr>
              <w:t xml:space="preserve"> се разглежда</w:t>
            </w:r>
            <w:r w:rsidRPr="00CA583F">
              <w:rPr>
                <w:rFonts w:ascii="Times New Roman" w:eastAsia="Times New Roman" w:hAnsi="Times New Roman" w:cs="Times New Roman"/>
                <w:sz w:val="20"/>
                <w:szCs w:val="20"/>
              </w:rPr>
              <w:t xml:space="preserve"> след </w:t>
            </w:r>
            <w:r>
              <w:rPr>
                <w:rFonts w:ascii="Times New Roman" w:eastAsia="Times New Roman" w:hAnsi="Times New Roman" w:cs="Times New Roman"/>
                <w:sz w:val="20"/>
                <w:szCs w:val="20"/>
              </w:rPr>
              <w:t xml:space="preserve">извършване и </w:t>
            </w:r>
            <w:r w:rsidRPr="00CA583F">
              <w:rPr>
                <w:rFonts w:ascii="Times New Roman" w:eastAsia="Times New Roman" w:hAnsi="Times New Roman" w:cs="Times New Roman"/>
                <w:sz w:val="20"/>
                <w:szCs w:val="20"/>
              </w:rPr>
              <w:t xml:space="preserve">приключване на </w:t>
            </w:r>
            <w:r>
              <w:rPr>
                <w:rFonts w:ascii="Times New Roman" w:eastAsia="Times New Roman" w:hAnsi="Times New Roman" w:cs="Times New Roman"/>
                <w:sz w:val="20"/>
                <w:szCs w:val="20"/>
              </w:rPr>
              <w:t xml:space="preserve">такава </w:t>
            </w:r>
            <w:r>
              <w:rPr>
                <w:rFonts w:ascii="Times New Roman" w:eastAsia="Times New Roman" w:hAnsi="Times New Roman" w:cs="Times New Roman"/>
                <w:sz w:val="20"/>
                <w:szCs w:val="20"/>
              </w:rPr>
              <w:lastRenderedPageBreak/>
              <w:t>проверка, к</w:t>
            </w:r>
            <w:r w:rsidRPr="00E172C4">
              <w:rPr>
                <w:rFonts w:ascii="Times New Roman" w:eastAsia="Times New Roman" w:hAnsi="Times New Roman" w:cs="Times New Roman"/>
                <w:sz w:val="20"/>
                <w:szCs w:val="20"/>
              </w:rPr>
              <w:t xml:space="preserve">ато паралелно с това, считаме, че изпълнителният директор на </w:t>
            </w:r>
            <w:r>
              <w:rPr>
                <w:rFonts w:ascii="Times New Roman" w:eastAsia="Times New Roman" w:hAnsi="Times New Roman" w:cs="Times New Roman"/>
                <w:sz w:val="20"/>
                <w:szCs w:val="20"/>
              </w:rPr>
              <w:t>лечебното заведение</w:t>
            </w:r>
            <w:r w:rsidRPr="00E172C4">
              <w:rPr>
                <w:rFonts w:ascii="Times New Roman" w:eastAsia="Times New Roman" w:hAnsi="Times New Roman" w:cs="Times New Roman"/>
                <w:sz w:val="20"/>
                <w:szCs w:val="20"/>
              </w:rPr>
              <w:t xml:space="preserve">, респективно Министерството на здравеопазването, следва да потърсят и разгледат и други потенциални източници за финансиране. </w:t>
            </w:r>
          </w:p>
        </w:tc>
      </w:tr>
      <w:tr w:rsidR="00DC7AD7" w:rsidRPr="00F62685" w:rsidTr="00FB0BA0">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5. Допълнителни средства в размер на 3 800,0 хил. лв. - за Български Червен кръст, от които 2 500,0 хил. лв. за предоставяне на субсидия, в т.ч. за Планинската спасителна служба при БЧК и 1 300,0 хил. лв. за капиталови трансфери. </w:t>
            </w:r>
          </w:p>
          <w:p w:rsidR="00DC7AD7" w:rsidRPr="00F62685" w:rsidRDefault="00DC7AD7" w:rsidP="00596248">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Увеличението на субсидията за дейността на Планинската спасителна служба ще даде възможност на планинските спасители и на доброволците към ПСС да оказват  непосредствена помощ на пострадали при нещастни случаи в планините, вкл. и при природни бедствия, екипирани и оборудвани с подходящите за тази високорискова дейност екипировка, оборудване, както и всички останали необходими условия. Увеличението на капиталовия трансфер ще бъде насочено за ремонт на базите на Планинската спасителна служба; за подновяване  на автомобилния парк с висока проходимост, моторни шейни и други специализирани транспортни средства в структурите на БЧК и в системата на ПСС, за придобиване на складове на територията на страната, необходими за повишаване на капацитета за реакция при бедствия, за  ремонт на сградите на складовите бази и сградите на областните организации на БЧК. С подобряване на финансовите възможности с подкрепата на държавата, ще се повиши и готовността на БЧК за реакция при кризисни ситуации, при които да партнира пълноценно на държавата на национално и регионално ниво със своите областни структури с добре обучени аварийни екипи, планински спасители, доброволци и специалисти с оглед по-ефективно реагиране при бедствени и кризисни ситуации.</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5. Приема се</w:t>
            </w:r>
            <w:r w:rsidR="00FC777F" w:rsidRPr="00657A5B">
              <w:rPr>
                <w:rFonts w:ascii="Times New Roman" w:eastAsia="Times New Roman" w:hAnsi="Times New Roman" w:cs="Times New Roman"/>
                <w:b/>
                <w:sz w:val="20"/>
                <w:szCs w:val="20"/>
              </w:rPr>
              <w:t xml:space="preserve"> частично</w:t>
            </w:r>
          </w:p>
        </w:tc>
        <w:tc>
          <w:tcPr>
            <w:tcW w:w="1617" w:type="pct"/>
            <w:shd w:val="clear" w:color="auto" w:fill="auto"/>
          </w:tcPr>
          <w:p w:rsidR="00DC7AD7" w:rsidRPr="00F62685" w:rsidRDefault="00DC7AD7" w:rsidP="00FC777F">
            <w:pPr>
              <w:spacing w:after="0" w:line="240" w:lineRule="auto"/>
              <w:jc w:val="both"/>
              <w:rPr>
                <w:rFonts w:ascii="Times New Roman" w:eastAsia="Times New Roman" w:hAnsi="Times New Roman" w:cs="Times New Roman"/>
                <w:sz w:val="20"/>
                <w:szCs w:val="20"/>
              </w:rPr>
            </w:pPr>
            <w:r w:rsidRPr="00FC777F">
              <w:rPr>
                <w:rFonts w:ascii="Times New Roman" w:eastAsia="Times New Roman" w:hAnsi="Times New Roman" w:cs="Times New Roman"/>
                <w:sz w:val="20"/>
                <w:szCs w:val="20"/>
              </w:rPr>
              <w:t xml:space="preserve">5. </w:t>
            </w:r>
            <w:r w:rsidR="00FC777F" w:rsidRPr="00FC777F">
              <w:rPr>
                <w:rFonts w:ascii="Times New Roman" w:eastAsia="Times New Roman" w:hAnsi="Times New Roman" w:cs="Times New Roman"/>
                <w:sz w:val="20"/>
                <w:szCs w:val="20"/>
              </w:rPr>
              <w:t>По отношение на текущите субсидии за дейността на БЧК - отразено в чл.</w:t>
            </w:r>
            <w:r w:rsidR="00FC777F">
              <w:rPr>
                <w:rFonts w:ascii="Times New Roman" w:eastAsia="Times New Roman" w:hAnsi="Times New Roman" w:cs="Times New Roman"/>
                <w:sz w:val="20"/>
                <w:szCs w:val="20"/>
              </w:rPr>
              <w:t xml:space="preserve"> </w:t>
            </w:r>
            <w:r w:rsidR="00FC777F" w:rsidRPr="00FC777F">
              <w:rPr>
                <w:rFonts w:ascii="Times New Roman" w:eastAsia="Times New Roman" w:hAnsi="Times New Roman" w:cs="Times New Roman"/>
                <w:sz w:val="20"/>
                <w:szCs w:val="20"/>
              </w:rPr>
              <w:t xml:space="preserve">15 от проекта на ЗДБРБ за 2024 г., а по отношение на капиталовия трансфер </w:t>
            </w:r>
            <w:r w:rsidR="00FC777F" w:rsidRPr="00FC777F">
              <w:rPr>
                <w:rFonts w:ascii="Times New Roman" w:eastAsia="Times New Roman" w:hAnsi="Times New Roman" w:cs="Times New Roman"/>
                <w:sz w:val="20"/>
                <w:szCs w:val="20"/>
                <w:lang w:eastAsia="bg-BG"/>
              </w:rPr>
              <w:t>е о</w:t>
            </w:r>
            <w:r w:rsidR="00FC777F" w:rsidRPr="00FC777F">
              <w:rPr>
                <w:rFonts w:ascii="Times New Roman" w:eastAsia="Times New Roman" w:hAnsi="Times New Roman" w:cs="Times New Roman"/>
                <w:sz w:val="20"/>
                <w:szCs w:val="20"/>
              </w:rPr>
              <w:t>тразено в законопроекта в съответствие с новия подход за бюджетиране и разходване на капиталовите разходи в обособен ресурс в ЦБ.</w:t>
            </w:r>
          </w:p>
        </w:tc>
      </w:tr>
      <w:tr w:rsidR="00DC7AD7" w:rsidRPr="00F62685" w:rsidTr="00FB0BA0">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6. Допълнителни средства в размер на 51 243,4 хил. лв. - за увеличение на възнагражденията на работещите в системата на Министерство на здравеопазването. </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Във връзка с повишаването на МРЗ през 2024 г. от 780 лв. на 933 лв. или с 19,6% е необходимо да бъдат индексирани възнагражденията на всички работещи в структурите на бюджетна издръжка към Министерството на здравеопазването с 10%. През 2024 г. предстои сключване на нов Колективен трудов договор в отрасъл „Здравеопазване“. </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Обръщам внимание, че за изпълнението на проекти BG16RFOP001-9.001-0002 „Укрепване на капацитета на болничната мрежа за реакция при кризи“ и BG16RFOP001-9.001-</w:t>
            </w:r>
            <w:r w:rsidRPr="00F62685">
              <w:rPr>
                <w:rFonts w:ascii="Times New Roman" w:eastAsia="Times New Roman" w:hAnsi="Times New Roman" w:cs="Times New Roman"/>
                <w:sz w:val="20"/>
                <w:szCs w:val="20"/>
              </w:rPr>
              <w:lastRenderedPageBreak/>
              <w:t xml:space="preserve">0001 „Подкрепа за структурите на </w:t>
            </w:r>
            <w:proofErr w:type="spellStart"/>
            <w:r w:rsidRPr="00F62685">
              <w:rPr>
                <w:rFonts w:ascii="Times New Roman" w:eastAsia="Times New Roman" w:hAnsi="Times New Roman" w:cs="Times New Roman"/>
                <w:sz w:val="20"/>
                <w:szCs w:val="20"/>
              </w:rPr>
              <w:t>извънболнична</w:t>
            </w:r>
            <w:proofErr w:type="spellEnd"/>
            <w:r w:rsidRPr="00F62685">
              <w:rPr>
                <w:rFonts w:ascii="Times New Roman" w:eastAsia="Times New Roman" w:hAnsi="Times New Roman" w:cs="Times New Roman"/>
                <w:sz w:val="20"/>
                <w:szCs w:val="20"/>
              </w:rPr>
              <w:t xml:space="preserve"> медицинска помощ и центровете за трансфузионна хематология за справяне с кризи“, финансирани по Оперативна програма „Региони в растеж” 2014-2020, съществува значителен риск от успешното приключване на дейностите в рамките на срока по БФП - месец декември 2023 г. Причината е, че за голяма част от обявените обществени поръчки решението за избор на изпълнител се обжалва. В тази връзка в хода на изпълнение на бюджета за 2024 г. може да възникне необходимост от допълнителни средства за </w:t>
            </w:r>
            <w:proofErr w:type="spellStart"/>
            <w:r w:rsidRPr="00F62685">
              <w:rPr>
                <w:rFonts w:ascii="Times New Roman" w:eastAsia="Times New Roman" w:hAnsi="Times New Roman" w:cs="Times New Roman"/>
                <w:sz w:val="20"/>
                <w:szCs w:val="20"/>
              </w:rPr>
              <w:t>дофинансиране</w:t>
            </w:r>
            <w:proofErr w:type="spellEnd"/>
            <w:r w:rsidRPr="00F62685">
              <w:rPr>
                <w:rFonts w:ascii="Times New Roman" w:eastAsia="Times New Roman" w:hAnsi="Times New Roman" w:cs="Times New Roman"/>
                <w:sz w:val="20"/>
                <w:szCs w:val="20"/>
              </w:rPr>
              <w:t xml:space="preserve"> на дейностите по двата проекта в индикативен размер на 55 000,0 хил. лева.</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6. Не се приема</w:t>
            </w: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6. </w:t>
            </w:r>
            <w:r w:rsidRPr="00C87EF4">
              <w:rPr>
                <w:rFonts w:ascii="Times New Roman" w:eastAsia="Times New Roman" w:hAnsi="Times New Roman" w:cs="Times New Roman"/>
                <w:sz w:val="20"/>
                <w:szCs w:val="20"/>
              </w:rPr>
              <w:t xml:space="preserve">С проектът на ЗДБРБ за 2024 г. </w:t>
            </w:r>
            <w:r>
              <w:rPr>
                <w:rFonts w:ascii="Times New Roman" w:eastAsia="Times New Roman" w:hAnsi="Times New Roman" w:cs="Times New Roman"/>
                <w:sz w:val="20"/>
                <w:szCs w:val="20"/>
              </w:rPr>
              <w:t xml:space="preserve">в чл. 1, ал. 5 </w:t>
            </w:r>
            <w:r w:rsidRPr="00C87EF4">
              <w:rPr>
                <w:rFonts w:ascii="Times New Roman" w:eastAsia="Times New Roman" w:hAnsi="Times New Roman" w:cs="Times New Roman"/>
                <w:sz w:val="20"/>
                <w:szCs w:val="20"/>
              </w:rPr>
              <w:t xml:space="preserve">са предвидени средства за преодоляване на диспропорции във възнагражденията на персонала в бюджетните организации с оглед изглаждане на наблюдавани значителни дисбаланси/неравенства в нивото на заплащане в различни административни звена и структури в секторите, предоставящи публични услуги. Предвидено е средствата да бъдат разпределяни </w:t>
            </w:r>
            <w:r>
              <w:rPr>
                <w:rFonts w:ascii="Times New Roman" w:eastAsia="Times New Roman" w:hAnsi="Times New Roman" w:cs="Times New Roman"/>
                <w:sz w:val="20"/>
                <w:szCs w:val="20"/>
              </w:rPr>
              <w:t>с</w:t>
            </w:r>
            <w:r w:rsidRPr="00C87EF4">
              <w:rPr>
                <w:rFonts w:ascii="Times New Roman" w:eastAsia="Times New Roman" w:hAnsi="Times New Roman" w:cs="Times New Roman"/>
                <w:sz w:val="20"/>
                <w:szCs w:val="20"/>
              </w:rPr>
              <w:t xml:space="preserve"> акт на Министерския съвет</w:t>
            </w:r>
            <w:r>
              <w:rPr>
                <w:rFonts w:ascii="Times New Roman" w:eastAsia="Times New Roman" w:hAnsi="Times New Roman" w:cs="Times New Roman"/>
                <w:sz w:val="20"/>
                <w:szCs w:val="20"/>
              </w:rPr>
              <w:t>.</w:t>
            </w:r>
          </w:p>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81710">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МИНИСТЕРСТВО НА ОКОЛНАТА СРЕДА И ВОДИТЕ</w:t>
            </w: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МОСВ съгласува представения  по реда на чл. 32, ал. 1 от УПМСНА проект на Решение на Министерския съвет за одобряване на законопроект за държавния бюджет на Република България за 2024 г., както и приложените документи, със следните бележки:</w:t>
            </w:r>
          </w:p>
          <w:p w:rsidR="00DC7AD7" w:rsidRPr="00F62685" w:rsidRDefault="00DC7AD7"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 </w:t>
            </w:r>
            <w:r w:rsidRPr="00F62685">
              <w:rPr>
                <w:rFonts w:ascii="Times New Roman" w:eastAsia="Times New Roman" w:hAnsi="Times New Roman" w:cs="Times New Roman"/>
                <w:sz w:val="20"/>
                <w:szCs w:val="20"/>
              </w:rPr>
              <w:t>В проекта на закон, не е предвидена разпоредбата, съществуваща в чл. 84, ал. 3 от Закона за държавния бюджет на Република България за 2022 г. (ЗДБРБ за 2022 г.), съгласно която „Размерът на неразплатените задължения на общини – бенефициенти по програми, съфинансирани от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рибарство, за наложени финансови корекции се намалява с 80 на сто еднократно чрез сключване на тристранно споразумение между управляващия орган на оперативна програма, министъра на финансите и кмета на съответната община.“. Предлагаме цитираната норма да бъде обективирана и в проекта на Закон за държавния бюджет на Република България за 2024 г. (ЗДБРБ за 2024 г.), като бъде модифицирана в частта вид и статут на бенефициента, като същите да не бъдат единствено общини, а всички бюджетни организации, публични дружества на бюджетна издръжка, каквито са и преобладаващата част бенефициенти  по ОПОС 2014-2020 г.</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b/>
                <w:sz w:val="20"/>
                <w:szCs w:val="20"/>
              </w:rPr>
              <w:t>Мотиви:</w:t>
            </w:r>
            <w:r w:rsidRPr="00F62685">
              <w:rPr>
                <w:rFonts w:ascii="Times New Roman" w:eastAsia="Times New Roman" w:hAnsi="Times New Roman" w:cs="Times New Roman"/>
                <w:sz w:val="20"/>
                <w:szCs w:val="20"/>
              </w:rPr>
              <w:t xml:space="preserve"> Липсата на предвидена в проекта на Закон за държавния бюджет на Република България за 2024 г. възможност за сключване на тристранни споразумения за намаляване на размера на задълженията на общини за наложени финансови корекции, би довело до създаване на реална предпоставка за </w:t>
            </w:r>
            <w:r w:rsidRPr="00F62685">
              <w:rPr>
                <w:rFonts w:ascii="Times New Roman" w:eastAsia="Times New Roman" w:hAnsi="Times New Roman" w:cs="Times New Roman"/>
                <w:sz w:val="20"/>
                <w:szCs w:val="20"/>
              </w:rPr>
              <w:lastRenderedPageBreak/>
              <w:t xml:space="preserve">Управляващите органи от генериране на изключително висок размер на вземания по оперативните програми, респективно образуване на производства по чл. 106 от Закона за публичните финанси и последващи изпълнителни такива по ДОПК за принудително изпълнение на </w:t>
            </w:r>
            <w:proofErr w:type="spellStart"/>
            <w:r w:rsidRPr="00F62685">
              <w:rPr>
                <w:rFonts w:ascii="Times New Roman" w:eastAsia="Times New Roman" w:hAnsi="Times New Roman" w:cs="Times New Roman"/>
                <w:sz w:val="20"/>
                <w:szCs w:val="20"/>
              </w:rPr>
              <w:t>невъзстановени</w:t>
            </w:r>
            <w:proofErr w:type="spellEnd"/>
            <w:r w:rsidRPr="00F62685">
              <w:rPr>
                <w:rFonts w:ascii="Times New Roman" w:eastAsia="Times New Roman" w:hAnsi="Times New Roman" w:cs="Times New Roman"/>
                <w:sz w:val="20"/>
                <w:szCs w:val="20"/>
              </w:rPr>
              <w:t xml:space="preserve"> вземания, ангажиране на особено значим финансов, времеви и човешки ресурс за обезпечаване на последните, както за взискателя по производството, така и за длъжника. В допълнение следва да се има предвид, че дадената възможност през годините направи реалност отписването на по-голямата част от вземанията по Оперативна програма „Околна среда 2007-2013 г. и Оперативна програма „Околна среда 2014-2020“. За периода 2017 г. – 2020г. са сключени Тристранни споразумения с 38 общини и са отписани вземания за наложени финансови корекции в размер на 41 979 935 лева.</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1.  Не се приема</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Pr="003F7224"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Pr="003F7224">
              <w:rPr>
                <w:rFonts w:ascii="Times New Roman" w:eastAsia="Times New Roman" w:hAnsi="Times New Roman" w:cs="Times New Roman"/>
                <w:sz w:val="20"/>
                <w:szCs w:val="20"/>
              </w:rPr>
              <w:t xml:space="preserve">Текстът беше въведен в края на програмен период 2007-2013 г., за да се подпомогнат бенефициентите-общини да приключат проектите с наложени финансови корекции. </w:t>
            </w:r>
          </w:p>
          <w:p w:rsidR="00DC7AD7" w:rsidRDefault="00DC7AD7" w:rsidP="00DC7AD7">
            <w:pPr>
              <w:spacing w:after="0" w:line="240" w:lineRule="auto"/>
              <w:jc w:val="both"/>
              <w:rPr>
                <w:rFonts w:ascii="Times New Roman" w:eastAsia="Times New Roman" w:hAnsi="Times New Roman" w:cs="Times New Roman"/>
                <w:sz w:val="20"/>
                <w:szCs w:val="20"/>
              </w:rPr>
            </w:pPr>
            <w:r w:rsidRPr="003F7224">
              <w:rPr>
                <w:rFonts w:ascii="Times New Roman" w:eastAsia="Times New Roman" w:hAnsi="Times New Roman" w:cs="Times New Roman"/>
                <w:sz w:val="20"/>
                <w:szCs w:val="20"/>
              </w:rPr>
              <w:t>По принцип считаме за несъвместима с доброто финансово управление разпоредба, която дава възможност за намаляване на наложени финансови корекции по програми, чи</w:t>
            </w:r>
            <w:r>
              <w:rPr>
                <w:rFonts w:ascii="Times New Roman" w:eastAsia="Times New Roman" w:hAnsi="Times New Roman" w:cs="Times New Roman"/>
                <w:sz w:val="20"/>
                <w:szCs w:val="20"/>
              </w:rPr>
              <w:t xml:space="preserve">ето изпълнение не е приключило и игнорира санкционния характер, който има финансова корекция за пропуските, допуснати от бенефициентите най-често във връзка с незаконосъобразно възлагане по реда за ЗОП. </w:t>
            </w:r>
          </w:p>
          <w:p w:rsidR="00DC7AD7" w:rsidRPr="003F7224"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Следва да се има предвид, че въвеждането на разпоредбата пренася ефекта на финансова тежест директно върху централния бюджет, </w:t>
            </w:r>
            <w:proofErr w:type="spellStart"/>
            <w:r>
              <w:rPr>
                <w:rFonts w:ascii="Times New Roman" w:eastAsia="Times New Roman" w:hAnsi="Times New Roman" w:cs="Times New Roman"/>
                <w:sz w:val="20"/>
                <w:szCs w:val="20"/>
              </w:rPr>
              <w:t>т.к</w:t>
            </w:r>
            <w:proofErr w:type="spellEnd"/>
            <w:r>
              <w:rPr>
                <w:rFonts w:ascii="Times New Roman" w:eastAsia="Times New Roman" w:hAnsi="Times New Roman" w:cs="Times New Roman"/>
                <w:sz w:val="20"/>
                <w:szCs w:val="20"/>
              </w:rPr>
              <w:t>. разходите които се заявяват за възстановяване от ЕК се намаляват със стойността на определените финансови корекции.</w:t>
            </w:r>
          </w:p>
          <w:p w:rsidR="00DC7AD7" w:rsidRPr="003F7224" w:rsidRDefault="00DC7AD7" w:rsidP="00DC7AD7">
            <w:pPr>
              <w:spacing w:after="0" w:line="240" w:lineRule="auto"/>
              <w:jc w:val="both"/>
              <w:rPr>
                <w:rFonts w:ascii="Times New Roman" w:eastAsia="Times New Roman" w:hAnsi="Times New Roman" w:cs="Times New Roman"/>
                <w:sz w:val="20"/>
                <w:szCs w:val="20"/>
              </w:rPr>
            </w:pPr>
            <w:r w:rsidRPr="003F7224">
              <w:rPr>
                <w:rFonts w:ascii="Times New Roman" w:eastAsia="Times New Roman" w:hAnsi="Times New Roman" w:cs="Times New Roman"/>
                <w:sz w:val="20"/>
                <w:szCs w:val="20"/>
              </w:rPr>
              <w:t>В допълнение, съществуването на текста поставя в неравностойно положение останалите бенефициенти, които нямат възможност за опрощаване на задължения, както и не допринася за подобряването на финансовата дисциплина на бенефициентите – общини.</w:t>
            </w: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Pr="00D81710" w:rsidRDefault="00DC7AD7" w:rsidP="00DC7AD7">
            <w:pPr>
              <w:spacing w:after="0" w:line="240" w:lineRule="auto"/>
              <w:ind w:firstLine="1"/>
              <w:jc w:val="both"/>
              <w:rPr>
                <w:rFonts w:ascii="Times New Roman" w:hAnsi="Times New Roman" w:cs="Times New Roman"/>
                <w:sz w:val="20"/>
                <w:szCs w:val="20"/>
              </w:rPr>
            </w:pPr>
          </w:p>
          <w:p w:rsidR="00DC7AD7" w:rsidRPr="00D81710" w:rsidRDefault="00DC7AD7" w:rsidP="00DC7AD7">
            <w:pPr>
              <w:spacing w:after="0" w:line="240" w:lineRule="auto"/>
              <w:ind w:firstLine="1"/>
              <w:jc w:val="both"/>
              <w:rPr>
                <w:rFonts w:ascii="Times New Roman" w:hAnsi="Times New Roman" w:cs="Times New Roman"/>
                <w:sz w:val="20"/>
                <w:szCs w:val="20"/>
              </w:rPr>
            </w:pPr>
          </w:p>
          <w:p w:rsidR="00DC7AD7" w:rsidRPr="00D81710" w:rsidRDefault="00DC7AD7" w:rsidP="00DC7AD7">
            <w:pPr>
              <w:spacing w:after="0" w:line="240" w:lineRule="auto"/>
              <w:ind w:firstLine="1"/>
              <w:jc w:val="both"/>
              <w:rPr>
                <w:rFonts w:ascii="Times New Roman" w:hAnsi="Times New Roman" w:cs="Times New Roman"/>
                <w:sz w:val="20"/>
                <w:szCs w:val="20"/>
              </w:rPr>
            </w:pPr>
          </w:p>
          <w:p w:rsidR="00DC7AD7" w:rsidRPr="00D81710" w:rsidRDefault="00DC7AD7" w:rsidP="00DC7AD7">
            <w:pPr>
              <w:spacing w:after="0" w:line="240" w:lineRule="auto"/>
              <w:ind w:firstLine="1"/>
              <w:jc w:val="both"/>
              <w:rPr>
                <w:rFonts w:ascii="Times New Roman" w:hAnsi="Times New Roman" w:cs="Times New Roman"/>
                <w:sz w:val="20"/>
                <w:szCs w:val="20"/>
              </w:rPr>
            </w:pPr>
          </w:p>
          <w:p w:rsidR="00DC7AD7" w:rsidRPr="00D81710" w:rsidRDefault="00DC7AD7" w:rsidP="00DC7AD7">
            <w:pPr>
              <w:spacing w:after="0" w:line="240" w:lineRule="auto"/>
              <w:ind w:firstLine="1"/>
              <w:jc w:val="both"/>
              <w:rPr>
                <w:rFonts w:ascii="Times New Roman" w:hAnsi="Times New Roman" w:cs="Times New Roman"/>
                <w:sz w:val="20"/>
                <w:szCs w:val="20"/>
              </w:rPr>
            </w:pPr>
          </w:p>
          <w:p w:rsidR="00DC7AD7" w:rsidRPr="00D81710" w:rsidRDefault="00DC7AD7" w:rsidP="00DC7AD7">
            <w:pPr>
              <w:spacing w:after="0" w:line="240" w:lineRule="auto"/>
              <w:ind w:firstLine="1"/>
              <w:jc w:val="both"/>
              <w:rPr>
                <w:rFonts w:ascii="Times New Roman" w:hAnsi="Times New Roman" w:cs="Times New Roman"/>
                <w:sz w:val="20"/>
                <w:szCs w:val="20"/>
              </w:rPr>
            </w:pPr>
          </w:p>
          <w:p w:rsidR="00DC7AD7" w:rsidRPr="00D81710" w:rsidRDefault="00DC7AD7" w:rsidP="00DC7AD7">
            <w:pPr>
              <w:spacing w:after="0" w:line="240" w:lineRule="auto"/>
              <w:ind w:firstLine="1"/>
              <w:jc w:val="both"/>
              <w:rPr>
                <w:rFonts w:ascii="Times New Roman" w:hAnsi="Times New Roman" w:cs="Times New Roman"/>
                <w:sz w:val="20"/>
                <w:szCs w:val="20"/>
              </w:rPr>
            </w:pPr>
          </w:p>
          <w:p w:rsidR="00DC7AD7" w:rsidRPr="00D81710" w:rsidRDefault="00DC7AD7" w:rsidP="00DC7AD7">
            <w:pPr>
              <w:spacing w:after="0" w:line="240" w:lineRule="auto"/>
              <w:ind w:firstLine="1"/>
              <w:jc w:val="both"/>
              <w:rPr>
                <w:rFonts w:ascii="Times New Roman" w:hAnsi="Times New Roman" w:cs="Times New Roman"/>
                <w:sz w:val="20"/>
                <w:szCs w:val="20"/>
              </w:rPr>
            </w:pPr>
          </w:p>
          <w:p w:rsidR="00DC7AD7" w:rsidRPr="00D81710" w:rsidRDefault="00DC7AD7" w:rsidP="00DC7AD7">
            <w:pPr>
              <w:spacing w:after="0" w:line="240" w:lineRule="auto"/>
              <w:ind w:firstLine="1"/>
              <w:jc w:val="both"/>
              <w:rPr>
                <w:rFonts w:ascii="Times New Roman" w:hAnsi="Times New Roman" w:cs="Times New Roman"/>
                <w:sz w:val="20"/>
                <w:szCs w:val="20"/>
              </w:rPr>
            </w:pPr>
          </w:p>
          <w:p w:rsidR="00DC7AD7" w:rsidRPr="00D81710" w:rsidRDefault="00DC7AD7" w:rsidP="00DC7AD7">
            <w:pPr>
              <w:spacing w:after="0" w:line="240" w:lineRule="auto"/>
              <w:ind w:firstLine="1"/>
              <w:jc w:val="both"/>
              <w:rPr>
                <w:rFonts w:ascii="Times New Roman" w:hAnsi="Times New Roman" w:cs="Times New Roman"/>
                <w:sz w:val="20"/>
                <w:szCs w:val="20"/>
              </w:rPr>
            </w:pPr>
          </w:p>
          <w:p w:rsidR="00DC7AD7" w:rsidRPr="0044086A"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C54531">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Default="00DC7AD7" w:rsidP="00596248">
            <w:pPr>
              <w:spacing w:after="6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2. </w:t>
            </w:r>
            <w:r w:rsidRPr="00F62685">
              <w:rPr>
                <w:rFonts w:ascii="Times New Roman" w:eastAsia="Times New Roman" w:hAnsi="Times New Roman" w:cs="Times New Roman"/>
                <w:b/>
                <w:sz w:val="20"/>
                <w:szCs w:val="20"/>
              </w:rPr>
              <w:t xml:space="preserve">Текстът на чл. 87 </w:t>
            </w:r>
            <w:r w:rsidRPr="00F62685">
              <w:rPr>
                <w:rFonts w:ascii="Times New Roman" w:eastAsia="Times New Roman" w:hAnsi="Times New Roman" w:cs="Times New Roman"/>
                <w:sz w:val="20"/>
                <w:szCs w:val="20"/>
              </w:rPr>
              <w:t xml:space="preserve">да се измени, както следва: „Неусвоените към 20 декември 2023 г. средства по бюджетите на общините от трансфери за други целеви разходи, постъпили към 31 декември 2022 г. на основание актове на Министерския съвет, се възстановяват в централния бюджет не по-късно от 31 март 2024 г., с изключение на обекти, за които към 20 декември 2023 г. е сключен договор с изпълнител. Средствата за обекти, за които към 20 декември 2023 г. е сключен договор с изпълнител, се възстановяват в централния бюджет в едномесечен срок след приключване изпълнението на договора.“ </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2. Не се приема</w:t>
            </w:r>
          </w:p>
        </w:tc>
        <w:tc>
          <w:tcPr>
            <w:tcW w:w="1617" w:type="pct"/>
            <w:shd w:val="clear" w:color="auto" w:fill="auto"/>
          </w:tcPr>
          <w:p w:rsidR="00DC7AD7" w:rsidRPr="00D81710" w:rsidRDefault="00DC7AD7" w:rsidP="00DC7AD7">
            <w:pPr>
              <w:spacing w:after="0" w:line="240" w:lineRule="auto"/>
              <w:ind w:firstLine="1"/>
              <w:jc w:val="both"/>
              <w:rPr>
                <w:rFonts w:ascii="Times New Roman" w:hAnsi="Times New Roman" w:cs="Times New Roman"/>
                <w:sz w:val="20"/>
                <w:szCs w:val="20"/>
              </w:rPr>
            </w:pPr>
            <w:r>
              <w:rPr>
                <w:rFonts w:ascii="Times New Roman" w:hAnsi="Times New Roman" w:cs="Times New Roman"/>
                <w:sz w:val="20"/>
                <w:szCs w:val="20"/>
              </w:rPr>
              <w:t xml:space="preserve">2. </w:t>
            </w:r>
            <w:r w:rsidRPr="00D81710">
              <w:rPr>
                <w:rFonts w:ascii="Times New Roman" w:hAnsi="Times New Roman" w:cs="Times New Roman"/>
                <w:sz w:val="20"/>
                <w:szCs w:val="20"/>
              </w:rPr>
              <w:t>Текстът на чл. 87 в проекта на ЗДБРБ за 2024 г. се отнася за трансферите за други целеви разходи, които не касаят предоставените трансфери от министерствата, респ. министерството на околната среда и водите, а само трансферите от централния бюджет за други целеви разходи.</w:t>
            </w:r>
          </w:p>
          <w:p w:rsidR="00DC7AD7" w:rsidRDefault="00DC7AD7" w:rsidP="00DC7AD7">
            <w:pPr>
              <w:spacing w:after="0" w:line="240" w:lineRule="auto"/>
              <w:ind w:firstLine="1"/>
              <w:jc w:val="both"/>
              <w:rPr>
                <w:rFonts w:ascii="Times New Roman" w:eastAsia="Times New Roman" w:hAnsi="Times New Roman" w:cs="Times New Roman"/>
                <w:sz w:val="20"/>
                <w:szCs w:val="20"/>
              </w:rPr>
            </w:pPr>
          </w:p>
        </w:tc>
      </w:tr>
      <w:tr w:rsidR="00DC7AD7" w:rsidRPr="00F62685" w:rsidTr="00C54531">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3. </w:t>
            </w:r>
            <w:r w:rsidRPr="00F62685">
              <w:rPr>
                <w:rFonts w:ascii="Times New Roman" w:eastAsia="Times New Roman" w:hAnsi="Times New Roman" w:cs="Times New Roman"/>
                <w:b/>
                <w:sz w:val="20"/>
                <w:szCs w:val="20"/>
              </w:rPr>
              <w:t>Текстът на чл. 96</w:t>
            </w:r>
            <w:r w:rsidRPr="00F62685">
              <w:rPr>
                <w:rFonts w:ascii="Times New Roman" w:eastAsia="Times New Roman" w:hAnsi="Times New Roman" w:cs="Times New Roman"/>
                <w:sz w:val="20"/>
                <w:szCs w:val="20"/>
              </w:rPr>
              <w:t xml:space="preserve"> да се измени, както следва: „Министърът на регионалното развитие и благоустройството, министърът на младежта и спорта, министърът на труда и социалната политика, министърът на образованието и науката, министърът на иновациите и растежа и министърът на културата да извършат анализ на предоставените на общините трансфери за капиталови разходи по сключени с общините споразумения до 31 декември 2022 г., като за обекти, за които към 31 декември 2023 г. няма сключени договори с изпълнител, предоставените средства се възстановят по бюджета на съответното министерство в срок до 31 март 2024 г.“</w:t>
            </w:r>
          </w:p>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Мотиви:</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С ПМС №309/03.10.2022 г. на МОСВ бяха предоставени допълнителни трансфери на стойност 12 294 541 лв. за целево финансиране на 18 обекта по предложение на Междуведомствената комисия за възстановяване и подпомагане към   Министерския съвет, съгласно Протокол № 7/15.09.2022 г. </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lastRenderedPageBreak/>
              <w:t xml:space="preserve">За финансирането на обектите се сключиха 18 броя тристранни споразумения между МОСВ, Министерство на вътрешните работи (МВР) и общината (областния управител). Споразуменията са сключени на основание чл.2 от РМС №712/03.10.2023 г., с което е одобрен текста на споразуменията. </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През 2022 г. областния управител на област Перник е възстановил средствата на МОСВ поради невъзможност за реализиране на обекта. </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Към момента са завършени обектите и са отчетени средствата по 4 обекта съответно на Община Горна Малина, на община Ново село,  на община Разлог и община Антон. </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Съгласно чл.9, ал.2 от Споразуменията неусвоените средства по бюджетите на общините се възстановяват в сроковете по чл. 129, ал. 1 от Закона за публичните финанси.</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В разпоредбата на чл.129, ал.1 от ЗПФ е предвидено, че постъпилите по бюджетите на общините средства от трансфери, които не са усвоени към края на текущата бюджетна година, може да се разходват за същата цел през следващата бюджетна година, като при остатък той се възстановява в държавния бюджет в срок един месец от приключването на разплащанията, но не по-късно от 20 декември.</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В ал.</w:t>
            </w:r>
            <w:r w:rsidR="00596248">
              <w:rPr>
                <w:rFonts w:ascii="Times New Roman" w:eastAsia="Times New Roman" w:hAnsi="Times New Roman" w:cs="Times New Roman"/>
                <w:sz w:val="20"/>
                <w:szCs w:val="20"/>
              </w:rPr>
              <w:t xml:space="preserve"> </w:t>
            </w:r>
            <w:r w:rsidRPr="00F62685">
              <w:rPr>
                <w:rFonts w:ascii="Times New Roman" w:eastAsia="Times New Roman" w:hAnsi="Times New Roman" w:cs="Times New Roman"/>
                <w:sz w:val="20"/>
                <w:szCs w:val="20"/>
              </w:rPr>
              <w:t xml:space="preserve">3 на същата норма е отбелязано, че алинеи 1 и 2 не се прилагат, когато със закона за държавния бюджет за съответната година или с акт на Министерския съвет е определено друго. В тази връзка за сключването на допълнително споразумение с искания предмет към Споразумение №Д-33-47/03.11.2022г. е необходимо в Закона за държавния бюджет на Република България за 2024 г. или с нов акт на Министерския съвет да бъде определен друг срок.  </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Въз основа на гореизложеното е направено предложение за промяна на датата на 20 декември, както и разширение на текста, който да указва кога подлежат на възстановяване средствата, за които към 20.12.2023 г. има сключен договор.</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По отношение на предложението, задълженията на МОСВ да отпаднат от чл. 96, считаме, че същото се припокрива с разписаното в чл. 87 като се отнася в частност за капиталови разходи.</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Документацията на финансираните проекти по ПМС №309/2022 г. на общините не е налична в МОСВ. Проектите са одобрени от Междуведомствената комисия за въз</w:t>
            </w:r>
            <w:r>
              <w:rPr>
                <w:rFonts w:ascii="Times New Roman" w:eastAsia="Times New Roman" w:hAnsi="Times New Roman" w:cs="Times New Roman"/>
                <w:sz w:val="20"/>
                <w:szCs w:val="20"/>
              </w:rPr>
              <w:t xml:space="preserve">становяване и подпомагане към </w:t>
            </w:r>
            <w:r w:rsidRPr="00F62685">
              <w:rPr>
                <w:rFonts w:ascii="Times New Roman" w:eastAsia="Times New Roman" w:hAnsi="Times New Roman" w:cs="Times New Roman"/>
                <w:sz w:val="20"/>
                <w:szCs w:val="20"/>
              </w:rPr>
              <w:t xml:space="preserve">Министерския съвет, съгласно Протокол № 7/15.09.2022 г. МОСВ не разполага с информация каква  част от тях </w:t>
            </w:r>
            <w:r w:rsidRPr="00F62685">
              <w:rPr>
                <w:rFonts w:ascii="Times New Roman" w:eastAsia="Times New Roman" w:hAnsi="Times New Roman" w:cs="Times New Roman"/>
                <w:sz w:val="20"/>
                <w:szCs w:val="20"/>
              </w:rPr>
              <w:lastRenderedPageBreak/>
              <w:t>представляват капиталови разходи. Независимо дали предоставените трансфери се ползват за капиталови разходи или други разходи  по отношение на целевите трансфери по ПМС №309/2022 г. считаме, че следва да се приложи чл.</w:t>
            </w:r>
            <w:r>
              <w:rPr>
                <w:rFonts w:ascii="Times New Roman" w:eastAsia="Times New Roman" w:hAnsi="Times New Roman" w:cs="Times New Roman"/>
                <w:sz w:val="20"/>
                <w:szCs w:val="20"/>
              </w:rPr>
              <w:t xml:space="preserve"> </w:t>
            </w:r>
            <w:r w:rsidRPr="00F62685">
              <w:rPr>
                <w:rFonts w:ascii="Times New Roman" w:eastAsia="Times New Roman" w:hAnsi="Times New Roman" w:cs="Times New Roman"/>
                <w:sz w:val="20"/>
                <w:szCs w:val="20"/>
              </w:rPr>
              <w:t>87. Разпоредбата на чл.97 само би довела до разн</w:t>
            </w:r>
            <w:r>
              <w:rPr>
                <w:rFonts w:ascii="Times New Roman" w:eastAsia="Times New Roman" w:hAnsi="Times New Roman" w:cs="Times New Roman"/>
                <w:sz w:val="20"/>
                <w:szCs w:val="20"/>
              </w:rPr>
              <w:t>опосочно тълкуване на текстове.</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3. Не се приема</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D81710" w:rsidRDefault="00DC7AD7" w:rsidP="00DC7AD7">
            <w:pPr>
              <w:spacing w:after="0" w:line="240" w:lineRule="auto"/>
              <w:ind w:firstLine="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 </w:t>
            </w:r>
            <w:r w:rsidRPr="00D81710">
              <w:rPr>
                <w:rFonts w:ascii="Times New Roman" w:eastAsia="Times New Roman" w:hAnsi="Times New Roman" w:cs="Times New Roman"/>
                <w:sz w:val="20"/>
                <w:szCs w:val="20"/>
              </w:rPr>
              <w:t>За трансферите, предоставени от бюджета на МОСВ на основание ПМС 309/2022 г. МОСВ следва да извърши анализ и проверка дали има сключени договори, и при наличие на такива, при необходимост да се сключи допълнително споразумение за удължаване на срока за усвояване на средствата.</w:t>
            </w:r>
          </w:p>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5329BF" w:rsidRPr="00F62685" w:rsidTr="006D3580">
        <w:trPr>
          <w:trHeight w:val="64"/>
        </w:trPr>
        <w:tc>
          <w:tcPr>
            <w:tcW w:w="941" w:type="pct"/>
            <w:shd w:val="clear" w:color="auto" w:fill="auto"/>
          </w:tcPr>
          <w:p w:rsidR="005329BF" w:rsidRPr="00F62685" w:rsidRDefault="005329BF" w:rsidP="005329BF">
            <w:pPr>
              <w:spacing w:after="0" w:line="240" w:lineRule="auto"/>
              <w:rPr>
                <w:rFonts w:ascii="Times New Roman" w:eastAsia="Times New Roman" w:hAnsi="Times New Roman" w:cs="Times New Roman"/>
                <w:b/>
                <w:sz w:val="20"/>
                <w:szCs w:val="20"/>
              </w:rPr>
            </w:pPr>
          </w:p>
        </w:tc>
        <w:tc>
          <w:tcPr>
            <w:tcW w:w="1868" w:type="pct"/>
            <w:shd w:val="clear" w:color="auto" w:fill="auto"/>
          </w:tcPr>
          <w:p w:rsidR="005329BF" w:rsidRPr="00F62685" w:rsidRDefault="005329BF" w:rsidP="005329BF">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4. </w:t>
            </w:r>
            <w:r w:rsidRPr="00F62685">
              <w:rPr>
                <w:rFonts w:ascii="Times New Roman" w:eastAsia="Times New Roman" w:hAnsi="Times New Roman" w:cs="Times New Roman"/>
                <w:b/>
                <w:sz w:val="20"/>
                <w:szCs w:val="20"/>
              </w:rPr>
              <w:t>Текстът на чл. 99</w:t>
            </w:r>
            <w:r w:rsidRPr="00F62685">
              <w:rPr>
                <w:rFonts w:ascii="Times New Roman" w:eastAsia="Times New Roman" w:hAnsi="Times New Roman" w:cs="Times New Roman"/>
                <w:sz w:val="20"/>
                <w:szCs w:val="20"/>
              </w:rPr>
              <w:t>, ал.</w:t>
            </w:r>
            <w:r>
              <w:rPr>
                <w:rFonts w:ascii="Times New Roman" w:eastAsia="Times New Roman" w:hAnsi="Times New Roman" w:cs="Times New Roman"/>
                <w:sz w:val="20"/>
                <w:szCs w:val="20"/>
              </w:rPr>
              <w:t xml:space="preserve"> </w:t>
            </w:r>
            <w:r w:rsidRPr="00F62685">
              <w:rPr>
                <w:rFonts w:ascii="Times New Roman" w:eastAsia="Times New Roman" w:hAnsi="Times New Roman" w:cs="Times New Roman"/>
                <w:sz w:val="20"/>
                <w:szCs w:val="20"/>
              </w:rPr>
              <w:t xml:space="preserve">2 да се измени, както следва: „За унифициране на счетоводните процеси в бюджетните организации, чиито бюджети са включени в държавния бюджет, съответните първостепенни разпоредители с бюджет оказват съдействие за </w:t>
            </w:r>
            <w:r w:rsidRPr="006D3580">
              <w:rPr>
                <w:rFonts w:ascii="Times New Roman" w:eastAsia="Times New Roman" w:hAnsi="Times New Roman" w:cs="Times New Roman"/>
                <w:sz w:val="20"/>
                <w:szCs w:val="20"/>
              </w:rPr>
              <w:t>въвеждането на Интегрираната финансово-информационна система</w:t>
            </w:r>
            <w:r w:rsidRPr="00F62685">
              <w:rPr>
                <w:rFonts w:ascii="Times New Roman" w:eastAsia="Times New Roman" w:hAnsi="Times New Roman" w:cs="Times New Roman"/>
                <w:sz w:val="20"/>
                <w:szCs w:val="20"/>
              </w:rPr>
              <w:t xml:space="preserve"> съгласно одобрен от Министерския съвет план за нейното внедряване.“</w:t>
            </w:r>
          </w:p>
          <w:p w:rsidR="005329BF" w:rsidRPr="00F62685" w:rsidRDefault="005329BF" w:rsidP="005329BF">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Мотиви: Направено е предложение текстът „задължително въвеждат“ да отпадне, което е продиктувано от съществуващите неясноти по въвеждането на Интегрираната финансово-информационна система. МОСВ ще окаже необходимото съдействие на процеса по внедряване на системата, но на този етап не може да се ангажира със срок, в който ще приключи окончателното внедряване на системата, с реализирането на съответните настройки и приложения съответстващи на спецификите на дейността на министерството. В процеса на въвеждане на системата може да възникнат обстоятелства изискващи по-дълъг срок на доработки и специфични настройки поради което не може да се ангажираме, че окончателното внедряване ще може да бъде извършено в срока съгласно одобрения план от МС.</w:t>
            </w:r>
          </w:p>
          <w:p w:rsidR="005329BF" w:rsidRPr="00F62685" w:rsidRDefault="005329BF" w:rsidP="005329BF">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На този етап Интегрираната финансово-информационна система не е представена на МОСВ и съответно не сме запознати с характеристиките и възможностите на същата, както и доколко внедряването и ще допринесе за по-високо ниво на достигнатото към момента по отношение на автоматизиране на процесите позволяващи автоматично генериране на всички отчетни форми и образци на МФ, както и на всички планове, разшифровки и проекти одобрени за прилагане в МОСВ по силата на Вътрешната система за контрол, както и по отношение на други вътрешните правила и процедури. </w:t>
            </w:r>
          </w:p>
          <w:p w:rsidR="005329BF" w:rsidRPr="00F62685" w:rsidRDefault="005329BF" w:rsidP="005329BF">
            <w:pPr>
              <w:spacing w:after="60" w:line="240" w:lineRule="auto"/>
              <w:jc w:val="both"/>
              <w:rPr>
                <w:rFonts w:ascii="Times New Roman" w:eastAsia="Times New Roman" w:hAnsi="Times New Roman" w:cs="Times New Roman"/>
                <w:sz w:val="20"/>
                <w:szCs w:val="20"/>
              </w:rPr>
            </w:pPr>
          </w:p>
        </w:tc>
        <w:tc>
          <w:tcPr>
            <w:tcW w:w="574" w:type="pct"/>
            <w:shd w:val="clear" w:color="auto" w:fill="auto"/>
          </w:tcPr>
          <w:p w:rsidR="005329BF" w:rsidRPr="00657A5B" w:rsidRDefault="005329BF" w:rsidP="005329BF">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 xml:space="preserve">4. Не се приема </w:t>
            </w:r>
          </w:p>
        </w:tc>
        <w:tc>
          <w:tcPr>
            <w:tcW w:w="1617" w:type="pct"/>
            <w:shd w:val="clear" w:color="auto" w:fill="auto"/>
          </w:tcPr>
          <w:p w:rsidR="005329BF" w:rsidRPr="00F62685" w:rsidRDefault="005329BF" w:rsidP="005329BF">
            <w:pPr>
              <w:spacing w:after="0" w:line="240" w:lineRule="auto"/>
              <w:jc w:val="both"/>
              <w:rPr>
                <w:rFonts w:ascii="Times New Roman" w:eastAsia="Times New Roman" w:hAnsi="Times New Roman" w:cs="Times New Roman"/>
                <w:sz w:val="20"/>
                <w:szCs w:val="20"/>
              </w:rPr>
            </w:pPr>
            <w:r w:rsidRPr="00461A13">
              <w:rPr>
                <w:rFonts w:ascii="Times New Roman" w:eastAsia="Times New Roman" w:hAnsi="Times New Roman" w:cs="Times New Roman"/>
                <w:sz w:val="20"/>
                <w:szCs w:val="20"/>
              </w:rPr>
              <w:t xml:space="preserve">4. </w:t>
            </w:r>
            <w:r>
              <w:rPr>
                <w:rFonts w:ascii="Times New Roman" w:eastAsia="Times New Roman" w:hAnsi="Times New Roman" w:cs="Times New Roman"/>
                <w:sz w:val="20"/>
                <w:szCs w:val="20"/>
              </w:rPr>
              <w:t>Министерството на финансите е в процес на сключване на договор за внедряване на системата.</w:t>
            </w:r>
          </w:p>
        </w:tc>
      </w:tr>
      <w:tr w:rsidR="00DC7AD7" w:rsidRPr="00F62685" w:rsidTr="00C54531">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5. </w:t>
            </w:r>
            <w:r w:rsidRPr="00F62685">
              <w:rPr>
                <w:rFonts w:ascii="Times New Roman" w:eastAsia="Times New Roman" w:hAnsi="Times New Roman" w:cs="Times New Roman"/>
                <w:b/>
                <w:sz w:val="20"/>
                <w:szCs w:val="20"/>
              </w:rPr>
              <w:t xml:space="preserve">Текстът на чл.109 </w:t>
            </w:r>
            <w:r w:rsidRPr="00F62685">
              <w:rPr>
                <w:rFonts w:ascii="Times New Roman" w:eastAsia="Times New Roman" w:hAnsi="Times New Roman" w:cs="Times New Roman"/>
                <w:sz w:val="20"/>
                <w:szCs w:val="20"/>
              </w:rPr>
              <w:t xml:space="preserve">да се измени, както следва: „Икономии от капиталовите разходи, утвърдени по чл. 4 - 49, не могат да бъдат използвани за текущи разходи. За капиталовите разходи утвърдени по чл. 4 - 49, които подлежат на възстановяване на </w:t>
            </w:r>
            <w:r w:rsidRPr="00F62685">
              <w:rPr>
                <w:rFonts w:ascii="Times New Roman" w:eastAsia="Times New Roman" w:hAnsi="Times New Roman" w:cs="Times New Roman"/>
                <w:sz w:val="20"/>
                <w:szCs w:val="20"/>
              </w:rPr>
              <w:lastRenderedPageBreak/>
              <w:t>други бюджети, могат да се извършват промени по бюджета в посока намаление на капиталовите разходи и промени на трансферите.“</w:t>
            </w:r>
          </w:p>
          <w:p w:rsidR="00DC7AD7" w:rsidRPr="00F62685" w:rsidRDefault="00DC7AD7" w:rsidP="00014BD9">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b/>
                <w:sz w:val="20"/>
                <w:szCs w:val="20"/>
              </w:rPr>
              <w:t>Мотиви:</w:t>
            </w:r>
            <w:r w:rsidRPr="00F62685">
              <w:rPr>
                <w:rFonts w:ascii="Times New Roman" w:eastAsia="Times New Roman" w:hAnsi="Times New Roman" w:cs="Times New Roman"/>
                <w:sz w:val="20"/>
                <w:szCs w:val="20"/>
              </w:rPr>
              <w:t xml:space="preserve"> Предложението е направено  с цел въвеждане на текст уреждащ специфика в бюджета на МОСВ. В рамките на утвърдените разходни тавани по бюджета на МОСВ са включени ежегодно 6 млн. лв., които се предоставят от Предприятието за управление на дейностите по опазване на околната среда (ПУДООС) като трансфер. В рамките на тези разходи има както текущи разходи, така и капиталови разходи. В края на годината неусвоените средства се възстановяват на предприятието като се извършва промяна на бюджета в намаление на разходите и намаление на получения трансфер. </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5. Не се приема</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r w:rsidRPr="00C54531">
              <w:rPr>
                <w:rFonts w:ascii="Times New Roman" w:eastAsia="Times New Roman" w:hAnsi="Times New Roman" w:cs="Times New Roman"/>
                <w:b/>
                <w:sz w:val="20"/>
                <w:szCs w:val="20"/>
              </w:rPr>
              <w:t>5.</w:t>
            </w:r>
            <w:r>
              <w:rPr>
                <w:rFonts w:ascii="Times New Roman" w:eastAsia="Times New Roman" w:hAnsi="Times New Roman" w:cs="Times New Roman"/>
                <w:sz w:val="20"/>
                <w:szCs w:val="20"/>
              </w:rPr>
              <w:t xml:space="preserve"> Направеното предложение не се приема, тъй като след възстановяването на трансфера на други бюджети не  може да се гарантира неговия целеви характер.</w:t>
            </w:r>
          </w:p>
        </w:tc>
      </w:tr>
      <w:tr w:rsidR="00DC7AD7" w:rsidRPr="00F62685" w:rsidTr="00C54531">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014BD9">
              <w:rPr>
                <w:rFonts w:ascii="Times New Roman" w:eastAsia="Times New Roman" w:hAnsi="Times New Roman" w:cs="Times New Roman"/>
                <w:b/>
                <w:sz w:val="20"/>
                <w:szCs w:val="20"/>
              </w:rPr>
              <w:t>6</w:t>
            </w:r>
            <w:r>
              <w:rPr>
                <w:rFonts w:ascii="Times New Roman" w:eastAsia="Times New Roman" w:hAnsi="Times New Roman" w:cs="Times New Roman"/>
                <w:sz w:val="20"/>
                <w:szCs w:val="20"/>
              </w:rPr>
              <w:t xml:space="preserve">. </w:t>
            </w:r>
            <w:r w:rsidRPr="00F62685">
              <w:rPr>
                <w:rFonts w:ascii="Times New Roman" w:eastAsia="Times New Roman" w:hAnsi="Times New Roman" w:cs="Times New Roman"/>
                <w:sz w:val="20"/>
                <w:szCs w:val="20"/>
              </w:rPr>
              <w:t>Допълнителна информация по отношение на разходите за персонал и политиката по доходите заложена в проекта на Закон за държавния бюджет на Република България за 2024 г.</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За преодоляване на диспропорциите във възнагражденията на персонала в бюджетните организации (за изглаждане на наблюдавани значителни дисбаланси/неравенства в нивото на заплащане на едни и същи длъжности в различни административни звена и структури в секторите, предоставящи публични услуги), включително и за увеличаване на възнагражденията на персонала за 2024 г., без структури, за които възнагражденията се определят по механизъм, са предвидени допълнителни средства в общ размер на 375,0 млн. лв., в т.ч. 29,0 млн. лв. за  общинска администрация - държавни дейности, като за целта се предвижда средствата да бъдат разпределяни съобразно методика и акт на Министерския съвет.</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С писмо Изх.№ 04-00-3244/07.11.2023 г. сме обърнали внимание, че липсата на политика по доходите поставя МОСВ и второстепенните разпоредители с бюджет на едно от последните места по нива на основни заплати на служителите и допълнителни възнаграждения за постигнати резултати. Това обстоятелство води до голямо текучество на кадри, невъзможност за привличане и задържане на тясно профилирани и квалифицирани кадри. Идентифицира се траен дефицит на експерти с ключови компетентности - </w:t>
            </w:r>
            <w:proofErr w:type="spellStart"/>
            <w:r w:rsidRPr="00F62685">
              <w:rPr>
                <w:rFonts w:ascii="Times New Roman" w:eastAsia="Times New Roman" w:hAnsi="Times New Roman" w:cs="Times New Roman"/>
                <w:sz w:val="20"/>
                <w:szCs w:val="20"/>
              </w:rPr>
              <w:t>хидроинженери</w:t>
            </w:r>
            <w:proofErr w:type="spellEnd"/>
            <w:r w:rsidRPr="00F62685">
              <w:rPr>
                <w:rFonts w:ascii="Times New Roman" w:eastAsia="Times New Roman" w:hAnsi="Times New Roman" w:cs="Times New Roman"/>
                <w:sz w:val="20"/>
                <w:szCs w:val="20"/>
              </w:rPr>
              <w:t>, хидрогеолози. хидробиолози, геодезисти, юристи. Налага се функции, изискващи специализирана квалификация, да се изпълняват от експерти без необходимата професионална подготовка и опит, което неминуемо се отразява на качеството на работата и на резултатите.</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lastRenderedPageBreak/>
              <w:t xml:space="preserve">Изключително демотивиращо за част от щатните служители ще бъде увеличението на минималната работна заплата на 933 лв. от 01.01.2024 г., което ще ги постави в условие да получават чисто възнаграждение след удръжки по – ниско от това на персонала, за който не се изисква висше образование (длъжности по ПМС №66/1996 г.).     </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Министерството не може да бъде конкурентно на пазара на труда предвид на това, че частните компании наред с високите възнаграждения предлагат и голям пакет от допълнителни бонуси (ваучери за храна, ваучери за почивки, паркоместа, допълнително здравно осигуряване, обучения в престижни международни центрове, карти за градски транспорт, ваучери за горива, безплатна храна в офиса, възможност за работа от вкъщи и др.)</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Горепосочените обстоятелства поставят министерството в ситуация на невъзможност да обезпечи кадрово нормативно определените функционални задължения, в резултата на които да реализира в цялост политиката по опазване на околната среда и водите в частност контролната дейност и очакваните приходи от дейността.   </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Като критична мярка за мотивация на служителите е посочено достигане на средна основна заплата не по-малка от средната заплата за страната или 1 957 лв., което изисква минимално увеличение от 30 на сто. За целта е посочено, че необходимите средства са 19,3 млн. Този анализ е изготвен към м. юни 2023 г. на база 2 547 щатни бройки. Считано от 01.01.2024 г. са осигурени допълнителни разходи за персонал във връзка с влизането в сила на Закона за изменение и допълнение на Закона за биологичното разнообразие (ЗИД на ЗБР) и увеличение на щатната численост в системата на МОСВ с 135 щатни бройки. Планираните разходи за персонал за основни заплати и задължителни осигурителни вноски са съгласно одобрените разчети във финансовата обосновка към ЗИД на ЗБР, която е разработена и одобрена през 2022 г. и в анализа към месец юни 2023 г. не е включено увеличение на основните възнаграждения на тези допълнителни щатни бройки поради това, че на този етап не беше приет ЗИД на ЗБР.</w:t>
            </w:r>
          </w:p>
          <w:p w:rsidR="00DC7AD7" w:rsidRPr="00F62685" w:rsidRDefault="00DC7AD7" w:rsidP="00014BD9">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На основание гореизложеното за осигуряването на  минималното 30% увеличение на основните заплати и задължителните осигурителни вноски за работодател са необходими допълнителни разходи за персонал на годишна база на стойност 20,9 млн.</w:t>
            </w:r>
            <w:r>
              <w:rPr>
                <w:rFonts w:ascii="Times New Roman" w:eastAsia="Times New Roman" w:hAnsi="Times New Roman" w:cs="Times New Roman"/>
                <w:sz w:val="20"/>
                <w:szCs w:val="20"/>
              </w:rPr>
              <w:t xml:space="preserve"> </w:t>
            </w:r>
            <w:r w:rsidRPr="00F62685">
              <w:rPr>
                <w:rFonts w:ascii="Times New Roman" w:eastAsia="Times New Roman" w:hAnsi="Times New Roman" w:cs="Times New Roman"/>
                <w:sz w:val="20"/>
                <w:szCs w:val="20"/>
              </w:rPr>
              <w:t>лв.</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6. Приема се по принцип</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B02809" w:rsidRDefault="00DC7AD7" w:rsidP="00DC7AD7">
            <w:pPr>
              <w:spacing w:after="0" w:line="240" w:lineRule="auto"/>
              <w:jc w:val="both"/>
              <w:rPr>
                <w:rFonts w:ascii="Times New Roman" w:eastAsia="Times New Roman" w:hAnsi="Times New Roman" w:cs="Times New Roman"/>
                <w:sz w:val="20"/>
                <w:szCs w:val="20"/>
              </w:rPr>
            </w:pPr>
            <w:r>
              <w:rPr>
                <w:rFonts w:ascii="Times New Roman" w:hAnsi="Times New Roman" w:cs="Times New Roman"/>
                <w:color w:val="000000"/>
                <w:sz w:val="20"/>
                <w:szCs w:val="20"/>
              </w:rPr>
              <w:t xml:space="preserve">6. </w:t>
            </w:r>
            <w:r w:rsidRPr="00B02809">
              <w:rPr>
                <w:rFonts w:ascii="Times New Roman" w:hAnsi="Times New Roman" w:cs="Times New Roman"/>
                <w:color w:val="000000"/>
                <w:sz w:val="20"/>
                <w:szCs w:val="20"/>
              </w:rPr>
              <w:t xml:space="preserve">С проектът на ЗДБРБ за 2024 г. са предвидени средства за преодоляване на диспропорции във възнагражденията на персонала в бюджетните организации с оглед изглаждане на наблюдавани значителни дисбаланси/неравенства в нивото на заплащане в различни административни звена и структури в секторите, предоставящи публични услуги. Предвидено е средствата да бъдат разпределяни </w:t>
            </w:r>
            <w:r>
              <w:rPr>
                <w:rFonts w:ascii="Times New Roman" w:hAnsi="Times New Roman" w:cs="Times New Roman"/>
                <w:color w:val="000000"/>
                <w:sz w:val="20"/>
                <w:szCs w:val="20"/>
              </w:rPr>
              <w:t>с</w:t>
            </w:r>
            <w:r w:rsidRPr="00B02809">
              <w:rPr>
                <w:rFonts w:ascii="Times New Roman" w:hAnsi="Times New Roman" w:cs="Times New Roman"/>
                <w:color w:val="000000"/>
                <w:sz w:val="20"/>
                <w:szCs w:val="20"/>
              </w:rPr>
              <w:t xml:space="preserve"> акт на Министерския съвет.</w:t>
            </w:r>
          </w:p>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C54531">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По отношение на Актуализираната средносрочна бюджетна прогноза за периода 2024-2026 г. допълнително обръщаме внимание на следните обстоятелства във връзка с  финансирането на програми за отстраняване на нанесените щети върху околната среда, настъпили от минали действия или бездействия, при приватизация</w:t>
            </w:r>
            <w:r>
              <w:rPr>
                <w:rFonts w:ascii="Times New Roman" w:eastAsia="Times New Roman" w:hAnsi="Times New Roman" w:cs="Times New Roman"/>
                <w:sz w:val="20"/>
                <w:szCs w:val="20"/>
              </w:rPr>
              <w:t>.</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Планираните средства за периода 2024-2025 г. са на стойност 54 млн. лв. С оглед законовия срок за приключване изпълнението на програмите, не са определени прогнозни средства за 2026 г. </w:t>
            </w:r>
          </w:p>
          <w:p w:rsidR="00DC7AD7" w:rsidRPr="00F62685" w:rsidRDefault="00DC7AD7" w:rsidP="00014BD9">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При разработване на проекта на бюджет за 2024 г. и актуализираната бюджетна прогноза за периода 2025-2026 г., МОСВ е направило предложение за осигуряване на средства, както следва: за 2024 г. – 23 010 хил.</w:t>
            </w:r>
            <w:r w:rsidR="00014BD9">
              <w:rPr>
                <w:rFonts w:ascii="Times New Roman" w:eastAsia="Times New Roman" w:hAnsi="Times New Roman" w:cs="Times New Roman"/>
                <w:sz w:val="20"/>
                <w:szCs w:val="20"/>
              </w:rPr>
              <w:t xml:space="preserve"> </w:t>
            </w:r>
            <w:r w:rsidRPr="00F62685">
              <w:rPr>
                <w:rFonts w:ascii="Times New Roman" w:eastAsia="Times New Roman" w:hAnsi="Times New Roman" w:cs="Times New Roman"/>
                <w:sz w:val="20"/>
                <w:szCs w:val="20"/>
              </w:rPr>
              <w:t>лв., за 2025 г. – 21 800 хил.</w:t>
            </w:r>
            <w:r w:rsidR="00014BD9">
              <w:rPr>
                <w:rFonts w:ascii="Times New Roman" w:eastAsia="Times New Roman" w:hAnsi="Times New Roman" w:cs="Times New Roman"/>
                <w:sz w:val="20"/>
                <w:szCs w:val="20"/>
              </w:rPr>
              <w:t xml:space="preserve"> </w:t>
            </w:r>
            <w:r w:rsidRPr="00F62685">
              <w:rPr>
                <w:rFonts w:ascii="Times New Roman" w:eastAsia="Times New Roman" w:hAnsi="Times New Roman" w:cs="Times New Roman"/>
                <w:sz w:val="20"/>
                <w:szCs w:val="20"/>
              </w:rPr>
              <w:t>лв. и за 2026 г. – 13 155 хил.</w:t>
            </w:r>
            <w:r w:rsidR="00014BD9">
              <w:rPr>
                <w:rFonts w:ascii="Times New Roman" w:eastAsia="Times New Roman" w:hAnsi="Times New Roman" w:cs="Times New Roman"/>
                <w:sz w:val="20"/>
                <w:szCs w:val="20"/>
              </w:rPr>
              <w:t xml:space="preserve"> </w:t>
            </w:r>
            <w:r w:rsidRPr="00F62685">
              <w:rPr>
                <w:rFonts w:ascii="Times New Roman" w:eastAsia="Times New Roman" w:hAnsi="Times New Roman" w:cs="Times New Roman"/>
                <w:sz w:val="20"/>
                <w:szCs w:val="20"/>
              </w:rPr>
              <w:t>лв. В представената обосновка са посочени редица проблеми довели до невъзможност за реал</w:t>
            </w:r>
            <w:r w:rsidR="00014BD9">
              <w:rPr>
                <w:rFonts w:ascii="Times New Roman" w:eastAsia="Times New Roman" w:hAnsi="Times New Roman" w:cs="Times New Roman"/>
                <w:sz w:val="20"/>
                <w:szCs w:val="20"/>
              </w:rPr>
              <w:t>и</w:t>
            </w:r>
            <w:r w:rsidRPr="00F62685">
              <w:rPr>
                <w:rFonts w:ascii="Times New Roman" w:eastAsia="Times New Roman" w:hAnsi="Times New Roman" w:cs="Times New Roman"/>
                <w:sz w:val="20"/>
                <w:szCs w:val="20"/>
              </w:rPr>
              <w:t>зиране на програмите в срок до 31.12.2025 г., кое</w:t>
            </w:r>
            <w:r w:rsidR="00014BD9">
              <w:rPr>
                <w:rFonts w:ascii="Times New Roman" w:eastAsia="Times New Roman" w:hAnsi="Times New Roman" w:cs="Times New Roman"/>
                <w:sz w:val="20"/>
                <w:szCs w:val="20"/>
              </w:rPr>
              <w:t>т</w:t>
            </w:r>
            <w:r w:rsidRPr="00F62685">
              <w:rPr>
                <w:rFonts w:ascii="Times New Roman" w:eastAsia="Times New Roman" w:hAnsi="Times New Roman" w:cs="Times New Roman"/>
                <w:sz w:val="20"/>
                <w:szCs w:val="20"/>
              </w:rPr>
              <w:t>о води до необходимост от удължаване на крайния срок – 31.12.2025г., определен в §9, ал. 2  от  ПЗР на ЗООС</w:t>
            </w:r>
            <w:r w:rsidR="00014BD9">
              <w:rPr>
                <w:rFonts w:ascii="Times New Roman" w:eastAsia="Times New Roman" w:hAnsi="Times New Roman" w:cs="Times New Roman"/>
                <w:sz w:val="20"/>
                <w:szCs w:val="20"/>
              </w:rPr>
              <w:t>.</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Не се приема</w:t>
            </w:r>
          </w:p>
        </w:tc>
        <w:tc>
          <w:tcPr>
            <w:tcW w:w="1617" w:type="pct"/>
            <w:shd w:val="clear" w:color="auto" w:fill="auto"/>
          </w:tcPr>
          <w:p w:rsidR="00DC7AD7" w:rsidRPr="00F62685" w:rsidRDefault="00C16A5E" w:rsidP="00C16A5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Към настоящия момент крайният срок за приключване изпълнението на дейностите на програмите за отстраняване на минали екологични щети е 31.12.2025 г. Внасянето и приемането на предложение за изменение на този срок не е гарантирано, включително с оглед на това, че програмата се изпълнява от повече от 20 години. Отделно от това, </w:t>
            </w:r>
            <w:r>
              <w:t xml:space="preserve"> </w:t>
            </w:r>
            <w:r w:rsidRPr="009D124F">
              <w:rPr>
                <w:rFonts w:ascii="Times New Roman" w:eastAsia="Times New Roman" w:hAnsi="Times New Roman" w:cs="Times New Roman"/>
                <w:sz w:val="20"/>
                <w:szCs w:val="20"/>
              </w:rPr>
              <w:t>предложените от МОСВ суми надвишават общия максимален размер на средствата по програмата.</w:t>
            </w: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МИНИСТЕРСТВО НА ЕНЕРГЕТИКАТА</w:t>
            </w: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Министерството на енергетиката, на основание чл. 33, ал. 1 от УПМСНА, съгласува със следните бележки и предложения представения проект на Решение на Министерския съвет за одобряване на законопроект за държавния бюджет на Република България за 2024 г.:</w:t>
            </w:r>
          </w:p>
          <w:p w:rsidR="00DC7AD7" w:rsidRPr="00F62685" w:rsidRDefault="00DC7AD7"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I. По бюджетните параметри на законопроекта за държавния бюджет на Република България за 2024 г.:</w:t>
            </w:r>
          </w:p>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По приходите:</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1.1 В предложените от Министерството на финансите бюджетни параметри по проекта на бюджет за 2024 г. е заложено увеличение на приходите от вноски във фонд „Радиоактивни отпадъци" (РАО) и във фонд „Извеждане от експлоатация на ядрени съоръжения" (ИЕЯС) спрямо ЗДБРБ за 2023 г. в размер на 66 826,0 хил. лева.</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Въз основа на прогнозните производствени разчети и цени от Бизнес програма на „АЕЦ Козлодуй" ЕАД за периода 2023-2027 г., изменение 2, приета от Съвета на директорите на БЕХ ЕАД с Решение по т.II.7.1 от Протокол № 55-2023/17.08.2023 г., очакваните вноски за фонд РАО за 2024 г. са в размер на 63 445,0 хил. лева, за фонд ИЕЯС - 158 613,0 хил. лева, или общо - 222 058,0 хил. лева.</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lastRenderedPageBreak/>
              <w:t>В проекта на бюджет за 2024 г. са заложени приходи в размер на 314 870,0 хил. лева.</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Предвиденото увеличение спрямо разчетите, предоставени от АЕЦ „Козлодуй" ЕАД е с 92 812,0 хил. лева.</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Разчетите, подадени от АЕЦ „Козлодуй" показват още, че през следващите три години се очаква стабилизиране на цените на продажбите на електрическа енергия, в резултат на което и вноските по фонд РАО и фонд ИЕЯС от АЕЦ „Козлодуй" ЕАД намаляват.</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На база на по-горе описания анализ, заложените приходи в проекта на бюджет за 2024 г. във фонд РАО и фонд ИЕЯС са реално неизпълними.</w:t>
            </w:r>
          </w:p>
          <w:p w:rsidR="00DC7AD7" w:rsidRPr="00F62685" w:rsidRDefault="00DC7AD7" w:rsidP="00014BD9">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sz w:val="20"/>
                <w:szCs w:val="20"/>
              </w:rPr>
              <w:t>Предлагаме, приходите, събирани по реда на Приложение № 2 към чл. 2, ал. 2 от Наредбата за реда за установяване, събиране, разходване и контрол на средствата и за размера на дължимите вноски във фонд "Радиоактивни отпадъци" и чл. 7, ал. 2 и ал. 5 от Наредбата за реда за установяване, събиране, разходване и контрол на средствата и за размера на дължимите вноски във фонд "Извеждане от експлоатация на ядрени съоръжения", да се заложат в проекта на бюджет за 2024 г. в размер на 222 058,0 хил. лева;</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1.1. Не се приема</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 Приходите от вноски във фондовете РАО и ИЕЯС в предложението на Министерство на финансите са увеличени спрямо тези в представените от МЕ проектобюджет за 2024 г. и актуализирана бюджетна прогноза за 2025 г. и 2026 г. При определянето на размера им, същият е съобразен с разчетените  приходи на двата фонда в представена от Министерство на енергетиката на предходен етап прогноза/проектобюджет, като е взето предвид и отчетеното им преизпълнение през предходните години.</w:t>
            </w:r>
          </w:p>
          <w:p w:rsidR="00DC7AD7"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1.2.</w:t>
            </w:r>
            <w:r w:rsidRPr="00F62685">
              <w:rPr>
                <w:rFonts w:ascii="Times New Roman" w:eastAsia="Times New Roman" w:hAnsi="Times New Roman" w:cs="Times New Roman"/>
                <w:sz w:val="20"/>
                <w:szCs w:val="20"/>
              </w:rPr>
              <w:tab/>
              <w:t>Относно приходите от концесии с наше писмо с изх. № Е-04-19- 399/31.10.2023 г. до Министерство на финансите вече е изпратена актуализирана прогноза за приходите и разходите, планирани във връзка с концесионната дейност на Министерство на енергетиката за следващия тригодишен период 2024-2026 г., посочени в Приложение № 1 към цитираното писмо. Прогнозното увеличение на приходите от концесии за 2024 г. спрямо утвърдените за 2023 г. е с 28 840,0 хил. лева както следва:</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Проектът на бюджет за 2024 г. е в съответствие с прогнозирано нарастване на приходите от концесии, независимо, че очакваните приходи от концесии за 2024 г. са под риск от неизпълнение, включително поради причината, че следва да се извършат редица законодателни промени. Следва да се отбележи още, че приходите за всяка календарна година се формират основно от постъпилите плащания за второ полугодие на предходната година с падежи 15 януари и 30 януари на текущата година и първо полугодие на текущата година с падежи 15 юли и 30 юли.</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Считаме, че допълнително предложените приходи от страна на МФ от концесии в проекта на бюджет за 2024 г. и в бюджетната прогноза за 2025 г. и за 2026 г. са нереалистични.</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lastRenderedPageBreak/>
              <w:t>Предвид изложеното, предлагаме прогнозния размер на приходите от концесии в проекта на бюджет за 2024 г. да останат в размер на 90 440,0 хил. лева.</w:t>
            </w:r>
          </w:p>
          <w:p w:rsidR="00DC7AD7" w:rsidRPr="00F62685" w:rsidRDefault="00DC7AD7"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Не се приема</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44086A" w:rsidRDefault="0025426A" w:rsidP="00C16A5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Cs/>
                <w:sz w:val="20"/>
                <w:szCs w:val="20"/>
              </w:rPr>
              <w:lastRenderedPageBreak/>
              <w:t>Новата</w:t>
            </w:r>
            <w:r w:rsidR="00DC7AD7" w:rsidRPr="00152716">
              <w:rPr>
                <w:rFonts w:ascii="Times New Roman" w:eastAsia="Times New Roman" w:hAnsi="Times New Roman" w:cs="Times New Roman"/>
                <w:bCs/>
                <w:sz w:val="20"/>
                <w:szCs w:val="20"/>
              </w:rPr>
              <w:t xml:space="preserve"> актуализирана прогноза за приходите от концесионна дейност за периода 2024 - 2026 г. е изготвена в съответствие с направените предложения и приетите решения от междуведомствената работна група (сформирана със Заповед № Р-143/11.08.2023 г. на министър – председателя) по отношение на определянето на концесионното възнаграждение за добив на подземни богатства.</w:t>
            </w:r>
            <w:r w:rsidR="00DC7AD7">
              <w:rPr>
                <w:rFonts w:ascii="Times New Roman" w:eastAsia="Times New Roman" w:hAnsi="Times New Roman" w:cs="Times New Roman"/>
                <w:bCs/>
                <w:sz w:val="20"/>
                <w:szCs w:val="20"/>
              </w:rPr>
              <w:t xml:space="preserve"> </w:t>
            </w:r>
            <w:r w:rsidR="00DC7AD7" w:rsidRPr="00152716">
              <w:rPr>
                <w:rFonts w:ascii="Times New Roman" w:eastAsia="Times New Roman" w:hAnsi="Times New Roman" w:cs="Times New Roman"/>
                <w:bCs/>
                <w:sz w:val="20"/>
                <w:szCs w:val="20"/>
              </w:rPr>
              <w:t>В прогнозата за 2024 г.  е отчетено обстоятелството, че за нейното реализиране е необходимо приемането на законодателни промени, като очакваните приходи от ефекта от приемането на нормативните промени са намалени с 50%.  Времевия период от планираното приемане на законодателните изменения до настъпването на 2025 и 2026 г. приемаме за достатъчен за тяхното пълно прилагане по всички концесионни договори, за които са относими. Поради това  в прогнозата за тези две години са включени приходи на 100% от ефекта на планираните законодателни промени.</w:t>
            </w:r>
            <w:r w:rsidR="00DC7AD7">
              <w:rPr>
                <w:rFonts w:ascii="Times New Roman" w:eastAsia="Times New Roman" w:hAnsi="Times New Roman" w:cs="Times New Roman"/>
                <w:bCs/>
                <w:sz w:val="20"/>
                <w:szCs w:val="20"/>
              </w:rPr>
              <w:t xml:space="preserve"> </w:t>
            </w:r>
            <w:r w:rsidR="00DC7AD7" w:rsidRPr="00152716">
              <w:rPr>
                <w:rFonts w:ascii="Times New Roman" w:eastAsia="Times New Roman" w:hAnsi="Times New Roman" w:cs="Times New Roman"/>
                <w:bCs/>
                <w:sz w:val="20"/>
                <w:szCs w:val="20"/>
              </w:rPr>
              <w:t xml:space="preserve">В прогнозата са отчетени и обстоятелствата, че концесионното възнаграждение ще се заплаща съгласно действащото законодателство към </w:t>
            </w:r>
            <w:r w:rsidR="00DC7AD7" w:rsidRPr="00152716">
              <w:rPr>
                <w:rFonts w:ascii="Times New Roman" w:eastAsia="Times New Roman" w:hAnsi="Times New Roman" w:cs="Times New Roman"/>
                <w:bCs/>
                <w:sz w:val="20"/>
                <w:szCs w:val="20"/>
              </w:rPr>
              <w:lastRenderedPageBreak/>
              <w:t>датата на извършване на плащането, както и че независимо за кои полугодия се отнасят концесионните възнаграждения, извършените плащания през дадена календарна година са за извършения добив за период от една година. С оглед на изложеното не приемаме предложената промяна на прогнозираните  приходи от концесии за добив на подземни богатства за 2025г. и 2026г.</w:t>
            </w:r>
          </w:p>
        </w:tc>
      </w:tr>
      <w:tr w:rsidR="00DC7AD7" w:rsidRPr="00F62685" w:rsidTr="00F26597">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По разходите:</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1.1.</w:t>
            </w:r>
            <w:r w:rsidRPr="00F62685">
              <w:rPr>
                <w:rFonts w:ascii="Times New Roman" w:eastAsia="Times New Roman" w:hAnsi="Times New Roman" w:cs="Times New Roman"/>
                <w:sz w:val="20"/>
                <w:szCs w:val="20"/>
              </w:rPr>
              <w:tab/>
              <w:t>Разходи за персонал:</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Заложените средства за персонал за системата на МЕ в проекта на бюджет за 2024 г. на МЕ са недостатъчни, предвид забавеното увеличение в преходни години и амбицията на МЕ да съобрази заплащането с настоящите икономически условия в страната, но и да изравни възнаграждението на служителите съобразно това, което е в други министерства.</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Сериозните предизвикателства в сектор „Енергетика", пред които е изправена страната, изискват бързи и навременни решения, които да се предлагат и изпълняват от висококвалифицирани специалисти с богат професионален опит. Предстоят ключови години за изпълнение на водещи инвестиции по Плана за възстановяване и устойчивост в част</w:t>
            </w:r>
            <w:r w:rsidRPr="00F62685">
              <w:rPr>
                <w:rFonts w:ascii="Times New Roman" w:eastAsia="Times New Roman" w:hAnsi="Times New Roman" w:cs="Times New Roman"/>
                <w:sz w:val="20"/>
                <w:szCs w:val="20"/>
              </w:rPr>
              <w:tab/>
              <w:t>„Енергетика", както и</w:t>
            </w:r>
            <w:r w:rsidRPr="00F62685">
              <w:rPr>
                <w:rFonts w:ascii="Times New Roman" w:eastAsia="Times New Roman" w:hAnsi="Times New Roman" w:cs="Times New Roman"/>
                <w:sz w:val="20"/>
                <w:szCs w:val="20"/>
              </w:rPr>
              <w:tab/>
              <w:t>организацията и</w:t>
            </w:r>
            <w:r w:rsidRPr="00F62685">
              <w:rPr>
                <w:rFonts w:ascii="Times New Roman" w:eastAsia="Times New Roman" w:hAnsi="Times New Roman" w:cs="Times New Roman"/>
                <w:sz w:val="20"/>
                <w:szCs w:val="20"/>
              </w:rPr>
              <w:tab/>
              <w:t xml:space="preserve">управлението на средствата от </w:t>
            </w:r>
            <w:proofErr w:type="spellStart"/>
            <w:r w:rsidRPr="00F62685">
              <w:rPr>
                <w:rFonts w:ascii="Times New Roman" w:eastAsia="Times New Roman" w:hAnsi="Times New Roman" w:cs="Times New Roman"/>
                <w:sz w:val="20"/>
                <w:szCs w:val="20"/>
              </w:rPr>
              <w:t>Модернизационния</w:t>
            </w:r>
            <w:proofErr w:type="spellEnd"/>
            <w:r w:rsidRPr="00F62685">
              <w:rPr>
                <w:rFonts w:ascii="Times New Roman" w:eastAsia="Times New Roman" w:hAnsi="Times New Roman" w:cs="Times New Roman"/>
                <w:sz w:val="20"/>
                <w:szCs w:val="20"/>
              </w:rPr>
              <w:t xml:space="preserve"> фонд, където не се предвиждат допълнителни възнаграждения от самите финансови източници. В допълнение, възнагражденията на служителите от Агенцията за устойчиво енергийно развитие (АУЕР), второстепенен разпоредител с бюджет са също недостатъчни, за да мотивират персонала за продължителна работа в агенцията. Това е причината за текучество на персонала и напускане на обучени кадри, което се отразява негативно на дейността на агенцията.</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Необходимите допълнителни средства по бюджета на МЕ по показател „Персонал" в проекта на бюджет на МЕ са разчетени в размер на 1 644, 2 хил. лева, както следва:</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Pr="00F62685">
              <w:rPr>
                <w:rFonts w:ascii="Times New Roman" w:eastAsia="Times New Roman" w:hAnsi="Times New Roman" w:cs="Times New Roman"/>
                <w:sz w:val="20"/>
                <w:szCs w:val="20"/>
              </w:rPr>
              <w:t xml:space="preserve"> За прилагане на чл. 25 и чл. 26 от Наредбата за условията и реда за оценяване изпълнението на служителите в държавната администрация при повишаване в държавна служба чрез последователно преминаване в по-висок ранг или на по-висока длъжност за служителите от МЕ - Централна администрация - 980,0 хил. лева;</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w:t>
            </w:r>
            <w:r w:rsidRPr="00F62685">
              <w:rPr>
                <w:rFonts w:ascii="Times New Roman" w:eastAsia="Times New Roman" w:hAnsi="Times New Roman" w:cs="Times New Roman"/>
                <w:sz w:val="20"/>
                <w:szCs w:val="20"/>
              </w:rPr>
              <w:tab/>
              <w:t xml:space="preserve"> За увеличение на заплати и възнаграждения за персонала, нает по трудови и служебни правоотношения и за </w:t>
            </w:r>
            <w:r w:rsidRPr="00F62685">
              <w:rPr>
                <w:rFonts w:ascii="Times New Roman" w:eastAsia="Times New Roman" w:hAnsi="Times New Roman" w:cs="Times New Roman"/>
                <w:sz w:val="20"/>
                <w:szCs w:val="20"/>
              </w:rPr>
              <w:lastRenderedPageBreak/>
              <w:t>задължителни осигурителни вноски от работодател от АУЕР - 549,2 хил. лева;</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Pr="00F62685">
              <w:rPr>
                <w:rFonts w:ascii="Times New Roman" w:eastAsia="Times New Roman" w:hAnsi="Times New Roman" w:cs="Times New Roman"/>
                <w:sz w:val="20"/>
                <w:szCs w:val="20"/>
              </w:rPr>
              <w:t xml:space="preserve"> За изплащане на извънреден труд - 50,0 хил. лева;</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за изплащане на обезщетения при пенсиониране на служители от системата на МЕ - 65,0 хил. лева;</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1.1. Приема се по принцип</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r w:rsidRPr="00586A51">
              <w:rPr>
                <w:rFonts w:ascii="Times New Roman" w:hAnsi="Times New Roman" w:cs="Times New Roman"/>
                <w:color w:val="000000"/>
                <w:sz w:val="20"/>
                <w:szCs w:val="20"/>
              </w:rPr>
              <w:t>С проект</w:t>
            </w:r>
            <w:r>
              <w:rPr>
                <w:rFonts w:ascii="Times New Roman" w:hAnsi="Times New Roman" w:cs="Times New Roman"/>
                <w:color w:val="000000"/>
                <w:sz w:val="20"/>
                <w:szCs w:val="20"/>
              </w:rPr>
              <w:t>а</w:t>
            </w:r>
            <w:r w:rsidRPr="00586A51">
              <w:rPr>
                <w:rFonts w:ascii="Times New Roman" w:hAnsi="Times New Roman" w:cs="Times New Roman"/>
                <w:color w:val="000000"/>
                <w:sz w:val="20"/>
                <w:szCs w:val="20"/>
              </w:rPr>
              <w:t xml:space="preserve"> на ЗДБРБ за 2024 г. са предвидени средства за преодоляване на диспропорции във възнагражденията на персонала в бюджетните организации с оглед изглаждане на наблюдавани значителни дисбаланси/неравенства в нивото на заплащане в различни административни звена и структури в секторите, предоставящи публични услуги. Предвидено е средствата да бъдат разпределяни акт на Министерския съвет.</w:t>
            </w:r>
          </w:p>
          <w:p w:rsidR="00DC7AD7"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F26597">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1.2.</w:t>
            </w:r>
            <w:r w:rsidRPr="00F62685">
              <w:rPr>
                <w:rFonts w:ascii="Times New Roman" w:eastAsia="Times New Roman" w:hAnsi="Times New Roman" w:cs="Times New Roman"/>
                <w:sz w:val="20"/>
                <w:szCs w:val="20"/>
              </w:rPr>
              <w:tab/>
              <w:t xml:space="preserve"> В проекта на бюджет за 2024 г. и в бюджетната прогноза за 2025 г. и за 2026 г. не са заложени средства за невъзстановим данък добавена стойност (ДДС) за изпълнение на Националния план за възстановяване и устойчивост (НПВУ). След уточняване на инвестициите, които следва да бъдат изпълнявани по НПВУ и съответното изчисление на дължимия ДДС, Министерството на енергетиката ще изготви точна информация до Министерството на финансите относно необходимите средства по бюджета на министерството за 2024 година.</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1.2. Не се приема</w:t>
            </w: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Pr="00914B25">
              <w:rPr>
                <w:rFonts w:ascii="Times New Roman" w:eastAsia="Times New Roman" w:hAnsi="Times New Roman" w:cs="Times New Roman"/>
                <w:sz w:val="20"/>
                <w:szCs w:val="20"/>
                <w:lang w:val="ru-RU"/>
              </w:rPr>
              <w:t>2</w:t>
            </w:r>
            <w:r>
              <w:rPr>
                <w:rFonts w:ascii="Times New Roman" w:eastAsia="Times New Roman" w:hAnsi="Times New Roman" w:cs="Times New Roman"/>
                <w:sz w:val="20"/>
                <w:szCs w:val="20"/>
                <w:lang w:val="ru-RU"/>
              </w:rPr>
              <w:t xml:space="preserve">. </w:t>
            </w:r>
            <w:r>
              <w:rPr>
                <w:rFonts w:ascii="Times New Roman" w:eastAsia="Times New Roman" w:hAnsi="Times New Roman" w:cs="Times New Roman"/>
                <w:sz w:val="20"/>
                <w:szCs w:val="20"/>
              </w:rPr>
              <w:t xml:space="preserve"> В НПВУ, одобрен с РМС 203/2022 г., са предвидени средства за невъзстановим ДДС за инвестициите на Министерството на енергетиката на обща стойност 40 575 хил. лв. При получаване на обосновани разчети, включително в резултат от предстоящи изменения на НПВУ по реда на чл. 21 от Регламент (ЕС) 2021/241 и глава </w:t>
            </w:r>
            <w:proofErr w:type="spellStart"/>
            <w:r>
              <w:rPr>
                <w:rFonts w:ascii="Times New Roman" w:eastAsia="Times New Roman" w:hAnsi="Times New Roman" w:cs="Times New Roman"/>
                <w:sz w:val="20"/>
                <w:szCs w:val="20"/>
                <w:lang w:val="en-US"/>
              </w:rPr>
              <w:t>RePowerEU</w:t>
            </w:r>
            <w:proofErr w:type="spellEnd"/>
            <w:r>
              <w:rPr>
                <w:rFonts w:ascii="Times New Roman" w:eastAsia="Times New Roman" w:hAnsi="Times New Roman" w:cs="Times New Roman"/>
                <w:sz w:val="20"/>
                <w:szCs w:val="20"/>
              </w:rPr>
              <w:t xml:space="preserve">, МФ ще предприеме действия в рамките на бюджетната процедура. </w:t>
            </w:r>
          </w:p>
          <w:p w:rsidR="00DC7AD7" w:rsidRDefault="00DC7AD7" w:rsidP="00DC7AD7">
            <w:pPr>
              <w:spacing w:after="0" w:line="240" w:lineRule="auto"/>
              <w:jc w:val="both"/>
              <w:rPr>
                <w:rFonts w:ascii="Times New Roman" w:hAnsi="Times New Roman" w:cs="Times New Roman"/>
                <w:color w:val="000000"/>
                <w:sz w:val="20"/>
                <w:szCs w:val="20"/>
              </w:rPr>
            </w:pPr>
          </w:p>
        </w:tc>
      </w:tr>
      <w:tr w:rsidR="00DC7AD7" w:rsidRPr="00F62685" w:rsidTr="00F26597">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1.3.</w:t>
            </w:r>
            <w:r w:rsidRPr="00F62685">
              <w:rPr>
                <w:rFonts w:ascii="Times New Roman" w:eastAsia="Times New Roman" w:hAnsi="Times New Roman" w:cs="Times New Roman"/>
                <w:sz w:val="20"/>
                <w:szCs w:val="20"/>
              </w:rPr>
              <w:tab/>
              <w:t xml:space="preserve"> В допълнение Ви информирам, че след представянето на проекта на бюджет за 2024 г. в МЕ е депозирано писмо с вх. № Е-26-Т-518 от 27.09.2023 г. от „ТЕЦ - Бобов дол" АД, с което е представен изпълнителен лист в размер на 3 504,3 хил. лева. Предвид изложеното, предлагаме средствата да бъдат предвидени по бюджета на МЕ за 2024 г.</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С Решение № 182/10.01.2023 г. по адм. дело № 7142/2022 г. по описа на Върховния административен съд - София-град, с което МЕ е осъдено да заплати на „Европейски пътища" АД сума в размер на 35 000,0 хил. лева. Срещу решението е подадена жалба, по която е образувано адм. дело № 3668/2023 г. по описа на Върховния административен съд, което дело може да приключи с решение , което да потвърди първоинстанционното решение.</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1.3. Не се приема</w:t>
            </w: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r>
              <w:rPr>
                <w:rFonts w:ascii="Times New Roman" w:hAnsi="Times New Roman" w:cs="Times New Roman"/>
                <w:color w:val="000000"/>
                <w:sz w:val="20"/>
                <w:szCs w:val="20"/>
              </w:rPr>
              <w:t xml:space="preserve">Необходимостта от допълнителни средства е възникнала след представянето на проектобюджета на МЕ за 2024 г. </w:t>
            </w:r>
            <w:r w:rsidRPr="00586A51">
              <w:rPr>
                <w:rFonts w:ascii="Times New Roman" w:hAnsi="Times New Roman" w:cs="Times New Roman"/>
                <w:color w:val="000000"/>
                <w:sz w:val="20"/>
                <w:szCs w:val="20"/>
              </w:rPr>
              <w:t xml:space="preserve">В тази връзка и предвид ограниченото </w:t>
            </w:r>
            <w:r>
              <w:rPr>
                <w:rFonts w:ascii="Times New Roman" w:hAnsi="Times New Roman" w:cs="Times New Roman"/>
                <w:color w:val="000000"/>
                <w:sz w:val="20"/>
                <w:szCs w:val="20"/>
              </w:rPr>
              <w:t>възможности на държавния бюджет</w:t>
            </w:r>
            <w:r w:rsidRPr="00586A51">
              <w:rPr>
                <w:rFonts w:ascii="Times New Roman" w:hAnsi="Times New Roman" w:cs="Times New Roman"/>
                <w:color w:val="000000"/>
                <w:sz w:val="20"/>
                <w:szCs w:val="20"/>
              </w:rPr>
              <w:t>, на този етап предложения за увеличения в разходната част не биха могли да бъдат удовлетворени.</w:t>
            </w:r>
          </w:p>
        </w:tc>
      </w:tr>
      <w:tr w:rsidR="00DC7AD7" w:rsidRPr="00F62685" w:rsidTr="00F26597">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МИНИСТЕРСТВО НА ИКОНОМИКАТА И ИНДУСТРИЯТА</w:t>
            </w:r>
          </w:p>
        </w:tc>
        <w:tc>
          <w:tcPr>
            <w:tcW w:w="1868" w:type="pct"/>
            <w:shd w:val="clear" w:color="auto" w:fill="auto"/>
          </w:tcPr>
          <w:p w:rsidR="00DC7AD7" w:rsidRDefault="00DC7AD7"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before="120" w:after="60" w:line="240" w:lineRule="auto"/>
              <w:jc w:val="center"/>
              <w:rPr>
                <w:rFonts w:ascii="Times New Roman" w:eastAsia="Times New Roman" w:hAnsi="Times New Roman" w:cs="Times New Roman"/>
                <w:sz w:val="20"/>
                <w:szCs w:val="20"/>
              </w:rPr>
            </w:pPr>
            <w:r w:rsidRPr="00F62685">
              <w:rPr>
                <w:rFonts w:ascii="Times New Roman" w:eastAsia="Times New Roman" w:hAnsi="Times New Roman" w:cs="Times New Roman"/>
                <w:b/>
                <w:sz w:val="20"/>
                <w:szCs w:val="20"/>
                <w:u w:val="single"/>
              </w:rPr>
              <w:t>СЪГЛАСУВА БЕЗ БЕЛЕЖКИ</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МИНИСТЕРСТВО НА ИНОВАЦИИТЕ И РАСТЕЖА</w:t>
            </w:r>
          </w:p>
        </w:tc>
        <w:tc>
          <w:tcPr>
            <w:tcW w:w="1868" w:type="pct"/>
            <w:shd w:val="clear" w:color="auto" w:fill="auto"/>
          </w:tcPr>
          <w:p w:rsidR="00DC7AD7" w:rsidRDefault="00DC7AD7" w:rsidP="00097BFC">
            <w:pPr>
              <w:spacing w:after="6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Министерството на иновациите и растежа, изразява следните бележки по отношение на  необходимите допълнителни средства по проектобюджета за 2024 г. на Министерство на иновациите и растежа над определените разходни тавани за централна администрация, БАИ и ИАНМСП,  на основание чл. 33 от Устройствения правилник </w:t>
            </w:r>
            <w:r>
              <w:rPr>
                <w:rFonts w:ascii="Times New Roman" w:eastAsia="Times New Roman" w:hAnsi="Times New Roman" w:cs="Times New Roman"/>
                <w:b/>
                <w:sz w:val="20"/>
                <w:szCs w:val="20"/>
              </w:rPr>
              <w:lastRenderedPageBreak/>
              <w:t xml:space="preserve">на Министерския съвет и на неговата администрация, както следва: </w:t>
            </w:r>
          </w:p>
          <w:p w:rsidR="00DC7AD7" w:rsidRDefault="00DC7AD7" w:rsidP="00097BFC">
            <w:pPr>
              <w:spacing w:after="60" w:line="240" w:lineRule="auto"/>
              <w:jc w:val="both"/>
              <w:rPr>
                <w:rFonts w:ascii="Times New Roman" w:eastAsia="Times New Roman" w:hAnsi="Times New Roman" w:cs="Times New Roman"/>
                <w:sz w:val="20"/>
                <w:szCs w:val="20"/>
              </w:rPr>
            </w:pPr>
          </w:p>
          <w:p w:rsidR="00DC7AD7"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 Допълнителните средства за персонал, издръжка, капиталови разходи, субсидии за нефинансови предприятия и членски внос са, както следва:</w:t>
            </w:r>
          </w:p>
          <w:p w:rsidR="00DC7AD7"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 Необходимите допълнителни разходи за персонал (§ 01-00; 02-00 и 05-00) са в общ размер на –  5 263 340 лв.</w:t>
            </w:r>
          </w:p>
          <w:p w:rsidR="00DC7AD7"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Необходимите средства за 2024 г., съгласно изготвен анализ от ГД ЕФК за възнаграждения и осигурителни вноски на служителите изпълняващи паралелно дейности и отговорности по управление и изпълнение на оперативните програми и инвестиции по програми от НПВУ са в размер на 7 960 000 лв., т.е. необходимата сума допълнителни средства по бюджета на МИР за 2024 г. е в размер на 5 196 900 лв.</w:t>
            </w:r>
          </w:p>
          <w:p w:rsidR="00DC7AD7" w:rsidRDefault="00DC7AD7" w:rsidP="00097BFC">
            <w:pPr>
              <w:spacing w:after="60" w:line="240" w:lineRule="auto"/>
              <w:jc w:val="both"/>
              <w:rPr>
                <w:rFonts w:ascii="Times New Roman" w:eastAsia="Times New Roman" w:hAnsi="Times New Roman" w:cs="Times New Roman"/>
                <w:sz w:val="20"/>
                <w:szCs w:val="20"/>
              </w:rPr>
            </w:pPr>
          </w:p>
          <w:p w:rsidR="00DC7AD7" w:rsidRDefault="00DC7AD7" w:rsidP="00097BFC">
            <w:pPr>
              <w:spacing w:after="60" w:line="240" w:lineRule="auto"/>
              <w:jc w:val="both"/>
              <w:rPr>
                <w:rFonts w:ascii="Times New Roman" w:eastAsia="Times New Roman" w:hAnsi="Times New Roman" w:cs="Times New Roman"/>
                <w:sz w:val="20"/>
                <w:szCs w:val="20"/>
              </w:rPr>
            </w:pPr>
          </w:p>
          <w:p w:rsidR="00DC7AD7" w:rsidRDefault="00DC7AD7" w:rsidP="00097BFC">
            <w:pPr>
              <w:spacing w:after="60" w:line="240" w:lineRule="auto"/>
              <w:jc w:val="both"/>
              <w:rPr>
                <w:rFonts w:ascii="Times New Roman" w:eastAsia="Times New Roman" w:hAnsi="Times New Roman" w:cs="Times New Roman"/>
                <w:sz w:val="20"/>
                <w:szCs w:val="20"/>
              </w:rPr>
            </w:pPr>
          </w:p>
          <w:p w:rsidR="00DC7AD7" w:rsidRDefault="00DC7AD7" w:rsidP="00097BFC">
            <w:pPr>
              <w:spacing w:after="60" w:line="240" w:lineRule="auto"/>
              <w:jc w:val="both"/>
              <w:rPr>
                <w:rFonts w:ascii="Times New Roman" w:eastAsia="Times New Roman" w:hAnsi="Times New Roman" w:cs="Times New Roman"/>
                <w:sz w:val="20"/>
                <w:szCs w:val="20"/>
              </w:rPr>
            </w:pPr>
          </w:p>
          <w:p w:rsidR="00DC7AD7" w:rsidRDefault="00DC7AD7" w:rsidP="00097BFC">
            <w:pPr>
              <w:spacing w:after="60" w:line="240" w:lineRule="auto"/>
              <w:jc w:val="both"/>
              <w:rPr>
                <w:rFonts w:ascii="Times New Roman" w:eastAsia="Times New Roman" w:hAnsi="Times New Roman" w:cs="Times New Roman"/>
                <w:sz w:val="20"/>
                <w:szCs w:val="20"/>
              </w:rPr>
            </w:pPr>
          </w:p>
          <w:p w:rsidR="00DC7AD7" w:rsidRDefault="00DC7AD7" w:rsidP="00097BFC">
            <w:pPr>
              <w:spacing w:after="60" w:line="240" w:lineRule="auto"/>
              <w:jc w:val="both"/>
              <w:rPr>
                <w:rFonts w:ascii="Times New Roman" w:eastAsia="Times New Roman" w:hAnsi="Times New Roman" w:cs="Times New Roman"/>
                <w:sz w:val="20"/>
                <w:szCs w:val="20"/>
              </w:rPr>
            </w:pPr>
          </w:p>
          <w:p w:rsidR="00DC7AD7"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Не се приема</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Pr="000F5D2C" w:rsidRDefault="00DC7AD7" w:rsidP="00DC7AD7">
            <w:pPr>
              <w:spacing w:after="0" w:line="240" w:lineRule="auto"/>
              <w:jc w:val="both"/>
              <w:rPr>
                <w:rFonts w:ascii="Times New Roman" w:eastAsia="Times New Roman" w:hAnsi="Times New Roman" w:cs="Times New Roman"/>
                <w:sz w:val="20"/>
                <w:szCs w:val="20"/>
              </w:rPr>
            </w:pPr>
            <w:r w:rsidRPr="000F5D2C">
              <w:rPr>
                <w:rFonts w:ascii="Times New Roman" w:eastAsia="Times New Roman" w:hAnsi="Times New Roman" w:cs="Times New Roman"/>
                <w:sz w:val="20"/>
                <w:szCs w:val="20"/>
              </w:rPr>
              <w:t>С проектът на ЗДБРБ за 2024 г. са предвидени средства за преодоляване на диспропорции във възнагражденията на персонала в бюджетните организации с оглед изглаждане на наблюдавани значителни дисбаланси/неравенства в нивото на заплащане в различни административни звена и структури в секторите, предоставящи публични услуги. Предвидено е средствата да бъдат разпределяни съобразно акт на Министерския съвет.</w:t>
            </w:r>
          </w:p>
          <w:p w:rsidR="00DC7AD7"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Необходимите средства за възнаграждения в изпълнение на оперативните програми, както и за предвидените разходи за възнаграждения за служители, които работят само и изключително за периода на изпълнение по инвестициите, финансирани от НВПУ, съгласно сключените споразумения са планирани в проектобюджета на 2024 г. по сметката за средства от ЕС на Националния фонд. </w:t>
            </w:r>
          </w:p>
          <w:p w:rsidR="00DC7AD7"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Предвид разпоредбата на параграф 5 от регламент 2021/241 за МВУ, средствата за възнаграждения на държавни служители, изпълняващи дейности по инвестиции на НПВУ не могат на се финансират от инвестициите и следва да се осигурят в рамките на бюджетната процедура на съответния РБ.</w:t>
            </w:r>
          </w:p>
        </w:tc>
      </w:tr>
      <w:tr w:rsidR="00DC7AD7" w:rsidRPr="00F62685" w:rsidTr="00967BB7">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 Необходимите допълнителни разходи за издръжка (§ 10-00) са в общ размер на  14 918 000 лв.</w:t>
            </w:r>
          </w:p>
          <w:p w:rsidR="00DC7AD7" w:rsidRDefault="00DC7AD7" w:rsidP="00097BFC">
            <w:pPr>
              <w:spacing w:after="60" w:line="240" w:lineRule="auto"/>
              <w:jc w:val="both"/>
              <w:rPr>
                <w:rFonts w:ascii="Times New Roman" w:eastAsia="Times New Roman" w:hAnsi="Times New Roman" w:cs="Times New Roman"/>
                <w:sz w:val="20"/>
                <w:szCs w:val="20"/>
              </w:rPr>
            </w:pPr>
          </w:p>
          <w:p w:rsidR="00DC7AD7"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Не се приема</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EA6829" w:rsidRDefault="00DC7AD7" w:rsidP="00DC7AD7">
            <w:pPr>
              <w:spacing w:after="0" w:line="240" w:lineRule="auto"/>
              <w:jc w:val="both"/>
              <w:rPr>
                <w:rFonts w:ascii="Times New Roman" w:eastAsia="Times New Roman" w:hAnsi="Times New Roman" w:cs="Times New Roman"/>
                <w:sz w:val="20"/>
                <w:szCs w:val="20"/>
              </w:rPr>
            </w:pPr>
            <w:r w:rsidRPr="00EA6829">
              <w:rPr>
                <w:rFonts w:ascii="Times New Roman" w:eastAsia="Times New Roman" w:hAnsi="Times New Roman" w:cs="Times New Roman"/>
                <w:sz w:val="20"/>
                <w:szCs w:val="20"/>
              </w:rPr>
              <w:t>Предложеният размер на разходите по бюджета на Министерство на иновациите и растежа е съобразен с възможностите на държавния бюджет за 2024 г., базиран на есенната макроикономическа прогноза на Министерството на финансите, на действащото законодателство, прилагане на възприетите политики и допускания от правителството за периода 2024-2026 г., отчетни данни и оценка на възможностите за реализиране на инвестиционните разходи в рамките на бюджетната година, предприетите оптимизиращи приходни и разходни мерки със съответните ефекти и предложения за законодателни промени.</w:t>
            </w:r>
          </w:p>
          <w:p w:rsidR="00DC7AD7" w:rsidRPr="00E147AD" w:rsidRDefault="00DC7AD7" w:rsidP="00DC7AD7">
            <w:pPr>
              <w:spacing w:after="0" w:line="240" w:lineRule="auto"/>
              <w:jc w:val="both"/>
              <w:rPr>
                <w:rFonts w:ascii="Times New Roman" w:eastAsia="Times New Roman" w:hAnsi="Times New Roman" w:cs="Times New Roman"/>
                <w:sz w:val="20"/>
                <w:szCs w:val="20"/>
              </w:rPr>
            </w:pPr>
            <w:r w:rsidRPr="00EA6829">
              <w:rPr>
                <w:rFonts w:ascii="Times New Roman" w:eastAsia="Times New Roman" w:hAnsi="Times New Roman" w:cs="Times New Roman"/>
                <w:sz w:val="20"/>
                <w:szCs w:val="20"/>
              </w:rPr>
              <w:t>В тази връзка и предвид ограниченото фискално пространство, на този етап предложения за увеличения в разходната част не биха могли да бъдат удовлетворени.</w:t>
            </w:r>
          </w:p>
        </w:tc>
      </w:tr>
      <w:tr w:rsidR="00DC7AD7" w:rsidRPr="00F62685" w:rsidTr="00967BB7">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 Необходимите допълнителни разходи за субсидии и други текущи трансфери за нефинансови предприятия (§ 43-00) са в общ размер на 113 440 934 лв.</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Приема се</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A0EF8" w:rsidRDefault="00DC7AD7" w:rsidP="00DC7AD7">
            <w:pPr>
              <w:spacing w:after="0" w:line="240" w:lineRule="auto"/>
              <w:jc w:val="both"/>
              <w:rPr>
                <w:rFonts w:ascii="Times New Roman" w:eastAsia="Times New Roman" w:hAnsi="Times New Roman" w:cs="Times New Roman"/>
                <w:sz w:val="20"/>
                <w:szCs w:val="20"/>
              </w:rPr>
            </w:pPr>
            <w:r w:rsidRPr="00FA0EF8">
              <w:rPr>
                <w:rFonts w:ascii="Times New Roman" w:eastAsia="Times New Roman" w:hAnsi="Times New Roman" w:cs="Times New Roman"/>
                <w:sz w:val="20"/>
                <w:szCs w:val="20"/>
              </w:rPr>
              <w:t>Средствата в размер на 100 млн. лв. са планирани по централния бюджет и ще бъдат предоставени по реда на ЗПФ, съобразно етапите на изпълнението на проектите по Закона за насърчаване на инвестициите.</w:t>
            </w:r>
          </w:p>
          <w:p w:rsidR="00DC7AD7" w:rsidRPr="00E147AD" w:rsidRDefault="00DC7AD7" w:rsidP="00DC7AD7">
            <w:pPr>
              <w:spacing w:after="0"/>
              <w:jc w:val="both"/>
              <w:rPr>
                <w:rFonts w:ascii="Times New Roman" w:eastAsia="Times New Roman" w:hAnsi="Times New Roman" w:cs="Times New Roman"/>
                <w:sz w:val="20"/>
                <w:szCs w:val="20"/>
              </w:rPr>
            </w:pPr>
          </w:p>
        </w:tc>
      </w:tr>
      <w:tr w:rsidR="00DC7AD7" w:rsidRPr="00F62685" w:rsidTr="00967BB7">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II. Търговските дружества с над 50% държавно участие, правата на държавата в капитала на които се упражняват от министъра на иновациите и растежа са „Българска банка за развитие“ ЕАД, „София Тех Парк“ АД  и „Фонд мениджър на финансови инструменти в България“ ЕАД.</w:t>
            </w:r>
          </w:p>
          <w:p w:rsidR="00DC7AD7" w:rsidRDefault="00DC7AD7" w:rsidP="00097BFC">
            <w:pPr>
              <w:spacing w:after="60" w:line="240" w:lineRule="auto"/>
              <w:jc w:val="both"/>
              <w:rPr>
                <w:rFonts w:ascii="Times New Roman" w:eastAsia="Times New Roman" w:hAnsi="Times New Roman" w:cs="Times New Roman"/>
                <w:sz w:val="20"/>
                <w:szCs w:val="20"/>
              </w:rPr>
            </w:pPr>
          </w:p>
          <w:p w:rsidR="00DC7AD7"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По параграф 70-00 „Придобиване на дялове, акции и съучастия“, относно проект на Решение на Министерски съвет за предприемане на действия във връзка с кандидатстване по процедура REF: EUROHPC-2022-CEI-UPG-01 на Европейския съюз е предвидена сумата в размер на 1 097 000 лв. за 2024 г.</w:t>
            </w:r>
          </w:p>
          <w:p w:rsidR="00DC7AD7" w:rsidRDefault="00DC7AD7" w:rsidP="00097BFC">
            <w:pPr>
              <w:spacing w:after="60" w:line="240" w:lineRule="auto"/>
              <w:jc w:val="both"/>
              <w:rPr>
                <w:rFonts w:ascii="Times New Roman" w:eastAsia="Times New Roman" w:hAnsi="Times New Roman" w:cs="Times New Roman"/>
                <w:i/>
                <w:sz w:val="20"/>
                <w:szCs w:val="20"/>
              </w:rPr>
            </w:pPr>
            <w:r>
              <w:rPr>
                <w:rFonts w:ascii="Times New Roman" w:eastAsia="Times New Roman" w:hAnsi="Times New Roman" w:cs="Times New Roman"/>
                <w:sz w:val="20"/>
                <w:szCs w:val="20"/>
              </w:rPr>
              <w:t xml:space="preserve">В средносрочната бюджетна прогноза за периода 2024-2026 г. и първи етап от бюджетната процедура за 2024 г., СТП предвиждат в прогнозните данни възможни увеличения в оперативните разходи за Суперкомпютъра за периода 2024-2026 г., както следва (в хил. лв.): </w:t>
            </w:r>
            <w:r>
              <w:rPr>
                <w:rFonts w:ascii="Times New Roman" w:eastAsia="Times New Roman" w:hAnsi="Times New Roman" w:cs="Times New Roman"/>
                <w:i/>
                <w:sz w:val="20"/>
                <w:szCs w:val="20"/>
              </w:rPr>
              <w:t>(съгласно писмото).</w:t>
            </w:r>
          </w:p>
          <w:p w:rsidR="00DC7AD7"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Първоначалните прогнози за оперативните разходи за Суперкомпютъра са направени през 2019 г. като към настоящия момента са налице значителни промени в макроикономическата обстановка в страната. </w:t>
            </w:r>
          </w:p>
          <w:p w:rsidR="00DC7AD7" w:rsidRDefault="00014BD9"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Ръководството </w:t>
            </w:r>
            <w:r w:rsidR="00DC7AD7">
              <w:rPr>
                <w:rFonts w:ascii="Times New Roman" w:eastAsia="Times New Roman" w:hAnsi="Times New Roman" w:cs="Times New Roman"/>
                <w:sz w:val="20"/>
                <w:szCs w:val="20"/>
              </w:rPr>
              <w:t>на ФМФИБ идентифицира риск от недостиг на ресурс, за да посрещне плащане по дългосрочно задължение без да застраши съществено ликвидната позиция на ФМФИБ, поради което обследва възможностите за ползване на външно финансиране за целите на покриване на задълженията на ФМФИБ ЕАД по сключен договор за изграждане, внедряване и поддръжка на система за управление на бизнес процесите на Дружеството (Системата). Съгласно условията на договора, предстоящо плащане по изпълнението на този договор в размер на 65% от стойността му (817 хил. лв.) ще бъде извършено след приемане на Системата от Възложителя и въвеждането й в експлоатация, и след отразяване на всички недостатъци, установени в Констативен протокол и подписване на окончателен Приемо-предавателен протокол за доставка, интегриране и въвеждане в експлоатация на Системата.</w:t>
            </w:r>
          </w:p>
          <w:p w:rsidR="00DC7AD7"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По отношение „Прогноза за намерение за поемане на задължения чрез договори за финансов лизинг и други форми на дълг за </w:t>
            </w:r>
            <w:r>
              <w:rPr>
                <w:rFonts w:ascii="Times New Roman" w:eastAsia="Times New Roman" w:hAnsi="Times New Roman" w:cs="Times New Roman"/>
                <w:sz w:val="20"/>
                <w:szCs w:val="20"/>
              </w:rPr>
              <w:lastRenderedPageBreak/>
              <w:t>периода 2024-2026 г. ФМФИБ не възнамеряват да поемат дълг чрез договор за финансов лизинг и други форми на дълг през 2024 г.</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Не се приема</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r>
              <w:rPr>
                <w:rFonts w:ascii="Times New Roman" w:hAnsi="Times New Roman" w:cs="Times New Roman"/>
                <w:color w:val="000000"/>
                <w:sz w:val="20"/>
                <w:szCs w:val="20"/>
              </w:rPr>
              <w:t>По бюджета на МИР са п</w:t>
            </w:r>
            <w:r>
              <w:rPr>
                <w:rFonts w:ascii="Times New Roman" w:eastAsia="Times New Roman" w:hAnsi="Times New Roman" w:cs="Times New Roman"/>
                <w:sz w:val="20"/>
                <w:szCs w:val="20"/>
              </w:rPr>
              <w:t>ланирани средства в размер на 3 939 900 лв. по  параграф 70-00 „Придобиване на дялове, акции и съучастия“, относно Решение на Министерски съвет за предприемане на действия във връзка с кандидатстване по процедура REF: EUROHPC-2022-CEI-UPG-01 на Европейския съюз за периода 2024 – 2026 г., в съответствие с одобрената финансова обосновка към проекта на акт.</w:t>
            </w:r>
          </w:p>
          <w:p w:rsidR="00DC7AD7"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Процедурата по възлагане на изграждането, внедряването и поддръжка на системата на бизнес процесите на ФМФИБ е следвало да бъде финансово обезпечена още преди нейното стартиране. Отделно, предстои изготвяне на оценка на структурната целесъобразност и ефективност на „Българска банка за развитие“ ЕАД и „Фонд мениджър на финансови инструменти в България“ ЕАД, и на стратегия за преструктурирането им, предвид на което евентуално предоставяне на ресурс от държавата следва да е след приключване на тези оценки.</w:t>
            </w:r>
          </w:p>
          <w:p w:rsidR="00DC7AD7" w:rsidRPr="00E147AD" w:rsidRDefault="00DC7AD7" w:rsidP="00DC7AD7">
            <w:pPr>
              <w:spacing w:after="0"/>
              <w:jc w:val="both"/>
              <w:rPr>
                <w:rFonts w:ascii="Times New Roman" w:eastAsia="Times New Roman" w:hAnsi="Times New Roman" w:cs="Times New Roman"/>
                <w:sz w:val="20"/>
                <w:szCs w:val="20"/>
              </w:rPr>
            </w:pPr>
          </w:p>
        </w:tc>
      </w:tr>
      <w:tr w:rsidR="00DC7AD7" w:rsidRPr="00F62685" w:rsidTr="00967BB7">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III. Второстепенен разпоредител с бюджет Българска агенция за инвестиции.</w:t>
            </w:r>
          </w:p>
          <w:p w:rsidR="00DC7AD7"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 § 10-00 „Издръжка“ - 6 990 000 лв.</w:t>
            </w:r>
          </w:p>
          <w:p w:rsidR="00DC7AD7"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 § 19-00 „Платени данъци, такси и административни санкции“ - 24 000 лв.</w:t>
            </w:r>
          </w:p>
          <w:p w:rsidR="00DC7AD7"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 § 46-00 „Разходи за членски внос и участие в нетърговски организации и дейности“ - 12 000 лв.</w:t>
            </w:r>
          </w:p>
          <w:p w:rsidR="00DC7AD7"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 § 52-00 „Придобиване на дълготрайни материални активи“ - 448 500 лв.</w:t>
            </w:r>
          </w:p>
          <w:p w:rsidR="00DC7AD7"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 § 53-00 „Придобиване на нематериални дълготрайни активи“ - 120 000 лв.</w:t>
            </w:r>
          </w:p>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Не се приема</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E147AD" w:rsidRDefault="00DC7AD7" w:rsidP="00DC7AD7">
            <w:pPr>
              <w:spacing w:after="0"/>
              <w:jc w:val="both"/>
              <w:rPr>
                <w:rFonts w:ascii="Times New Roman" w:eastAsia="Times New Roman" w:hAnsi="Times New Roman" w:cs="Times New Roman"/>
                <w:sz w:val="20"/>
                <w:szCs w:val="20"/>
              </w:rPr>
            </w:pPr>
            <w:r w:rsidRPr="00E147AD">
              <w:rPr>
                <w:rFonts w:ascii="Times New Roman" w:eastAsia="Times New Roman" w:hAnsi="Times New Roman" w:cs="Times New Roman"/>
                <w:sz w:val="20"/>
                <w:szCs w:val="20"/>
              </w:rPr>
              <w:t>Предложеният размер на разходите по бюджета на Министерство на иновациите и растежа е съобразен с възможностите на държавния бюджет за 2024 г., базиран на есенната макроикономическа прогноза на Министерството на финансите, на действащото законодателство, прилагане на възприетите политики и допускания от правителството за периода 2024-2026 г., отчетни данни и оценка на възможностите за реализиране на инвестиционните разходи в рамките на бюджетната година, предприетите оптимизиращи приходни и разходни мерки със съответните ефекти и предложения за законодателни промени.</w:t>
            </w:r>
          </w:p>
          <w:p w:rsidR="00DC7AD7" w:rsidRPr="00F62685" w:rsidRDefault="00DC7AD7" w:rsidP="00014BD9">
            <w:pPr>
              <w:spacing w:after="0" w:line="240" w:lineRule="auto"/>
              <w:jc w:val="both"/>
              <w:rPr>
                <w:rFonts w:ascii="Times New Roman" w:eastAsia="Times New Roman" w:hAnsi="Times New Roman" w:cs="Times New Roman"/>
                <w:sz w:val="20"/>
                <w:szCs w:val="20"/>
              </w:rPr>
            </w:pPr>
            <w:r w:rsidRPr="00E147AD">
              <w:rPr>
                <w:rFonts w:ascii="Times New Roman" w:eastAsia="Times New Roman" w:hAnsi="Times New Roman" w:cs="Times New Roman"/>
                <w:sz w:val="20"/>
                <w:szCs w:val="20"/>
              </w:rPr>
              <w:t>В тази връзка и предвид ограниченото фискално пространство, на този етап предложения за увеличения в разходната част не биха могли да бъдат удовлетворени.</w:t>
            </w:r>
          </w:p>
        </w:tc>
      </w:tr>
      <w:tr w:rsidR="00DC7AD7" w:rsidRPr="00F62685" w:rsidTr="00967BB7">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IV. Второстепенен разпоредител с бюджет Изпълнителна агенция за насърчаване на малките и средните предприятия</w:t>
            </w:r>
          </w:p>
          <w:p w:rsidR="00DC7AD7"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 § 10-00 „Издръжка“ – в размер на 2 711 790,39 лв., необходими за участие на Република България в Световното изложение ЕКСПО 2025 г. в Осака, </w:t>
            </w:r>
            <w:proofErr w:type="spellStart"/>
            <w:r>
              <w:rPr>
                <w:rFonts w:ascii="Times New Roman" w:eastAsia="Times New Roman" w:hAnsi="Times New Roman" w:cs="Times New Roman"/>
                <w:sz w:val="20"/>
                <w:szCs w:val="20"/>
              </w:rPr>
              <w:t>Канзай</w:t>
            </w:r>
            <w:proofErr w:type="spellEnd"/>
            <w:r>
              <w:rPr>
                <w:rFonts w:ascii="Times New Roman" w:eastAsia="Times New Roman" w:hAnsi="Times New Roman" w:cs="Times New Roman"/>
                <w:sz w:val="20"/>
                <w:szCs w:val="20"/>
              </w:rPr>
              <w:t>, Япония в периода 13 април – 13 октомври 2025 г., одобрени с финансова обосновка на министъра на финансите.</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Предвиденото плащане за организиране на национално участие на България в ЕКСПО 2025 г. за частично плащане на наема на националния павилион „България“, позициониран на Парцел А 38, зона „</w:t>
            </w:r>
            <w:proofErr w:type="spellStart"/>
            <w:r>
              <w:rPr>
                <w:rFonts w:ascii="Times New Roman" w:eastAsia="Times New Roman" w:hAnsi="Times New Roman" w:cs="Times New Roman"/>
                <w:sz w:val="20"/>
                <w:szCs w:val="20"/>
              </w:rPr>
              <w:t>Saving</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Lives</w:t>
            </w:r>
            <w:proofErr w:type="spellEnd"/>
            <w:r>
              <w:rPr>
                <w:rFonts w:ascii="Times New Roman" w:eastAsia="Times New Roman" w:hAnsi="Times New Roman" w:cs="Times New Roman"/>
                <w:sz w:val="20"/>
                <w:szCs w:val="20"/>
              </w:rPr>
              <w:t>” с площ 900 кв. м., в размер на 2 066 790,39 с одобрения за 2023 г. бюджет няма да бъде извършено през 2023 г., като следва да бъде предвидено в бюджета за 2024 г.</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Не се приема</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967BB7" w:rsidRDefault="00DC7AD7" w:rsidP="00DC7AD7">
            <w:pPr>
              <w:spacing w:after="0" w:line="240" w:lineRule="auto"/>
              <w:jc w:val="both"/>
              <w:rPr>
                <w:rFonts w:ascii="Times New Roman" w:eastAsia="Times New Roman" w:hAnsi="Times New Roman" w:cs="Times New Roman"/>
                <w:sz w:val="20"/>
                <w:szCs w:val="20"/>
              </w:rPr>
            </w:pPr>
            <w:r w:rsidRPr="00967BB7">
              <w:rPr>
                <w:rFonts w:ascii="Times New Roman" w:eastAsia="Times New Roman" w:hAnsi="Times New Roman" w:cs="Times New Roman"/>
                <w:sz w:val="20"/>
                <w:szCs w:val="20"/>
              </w:rPr>
              <w:t>Предложеният размер на разходите по бюджета на Министерство на иновациите и растежа е съобразен с възможностите на държавния бюджет за 2024 г., базиран на есенната макроикономическа прогноза на Министерството на финансите, на действащото законодателство, прилагане на възприетите политики и допускания от правителството за периода 2024-2026 г., отчетни данни и оценка на възможностите за реализиране на инвестиционните разходи в рамките на бюджетната година, предприетите оптимизиращи приходни и разходни мерки със съответните ефекти и предложения за законодателни промени.</w:t>
            </w:r>
          </w:p>
          <w:p w:rsidR="00DC7AD7" w:rsidRPr="00F62685" w:rsidRDefault="00DC7AD7" w:rsidP="00014BD9">
            <w:pPr>
              <w:spacing w:after="0" w:line="240" w:lineRule="auto"/>
              <w:jc w:val="both"/>
              <w:rPr>
                <w:rFonts w:ascii="Times New Roman" w:eastAsia="Times New Roman" w:hAnsi="Times New Roman" w:cs="Times New Roman"/>
                <w:sz w:val="20"/>
                <w:szCs w:val="20"/>
              </w:rPr>
            </w:pPr>
            <w:r w:rsidRPr="00967BB7">
              <w:rPr>
                <w:rFonts w:ascii="Times New Roman" w:eastAsia="Times New Roman" w:hAnsi="Times New Roman" w:cs="Times New Roman"/>
                <w:sz w:val="20"/>
                <w:szCs w:val="20"/>
              </w:rPr>
              <w:t>В тази връзка и предвид ограниченото фискално пространство, на този етап предложения за увеличения в разходната част не биха могли да бъдат удовлетворени.</w:t>
            </w: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МИНИСТЕРСТВО НА РЕГИОНАЛНОТО РАЗВИТИЕ И БЛАГОУСТРОЙСТВОТО</w:t>
            </w:r>
          </w:p>
        </w:tc>
        <w:tc>
          <w:tcPr>
            <w:tcW w:w="1868" w:type="pct"/>
            <w:shd w:val="clear" w:color="auto" w:fill="auto"/>
          </w:tcPr>
          <w:p w:rsidR="00DC7AD7" w:rsidRDefault="00DC7AD7" w:rsidP="00097BFC">
            <w:pPr>
              <w:spacing w:after="60" w:line="240" w:lineRule="auto"/>
              <w:jc w:val="both"/>
              <w:rPr>
                <w:rFonts w:ascii="Times New Roman" w:eastAsia="Times New Roman" w:hAnsi="Times New Roman" w:cs="Times New Roman"/>
                <w:sz w:val="20"/>
                <w:szCs w:val="20"/>
              </w:rPr>
            </w:pPr>
            <w:r w:rsidRPr="00575B68">
              <w:rPr>
                <w:rFonts w:ascii="Times New Roman" w:eastAsia="Times New Roman" w:hAnsi="Times New Roman" w:cs="Times New Roman"/>
                <w:sz w:val="20"/>
                <w:szCs w:val="20"/>
              </w:rPr>
              <w:t>Министерството на регионалното развитие и благоустройството (МРРБ) съгласува проекта на Решение на Министерския съвет за одобряване на законопроект за държавния бюджет на Република България за 2024 г. и материалите към него със следното становище:</w:t>
            </w:r>
          </w:p>
          <w:p w:rsidR="00DC7AD7" w:rsidRPr="00575B68" w:rsidRDefault="00DC7AD7" w:rsidP="00097BFC">
            <w:pPr>
              <w:spacing w:after="60" w:line="240" w:lineRule="auto"/>
              <w:jc w:val="both"/>
              <w:rPr>
                <w:rFonts w:ascii="Times New Roman" w:eastAsia="Times New Roman" w:hAnsi="Times New Roman" w:cs="Times New Roman"/>
                <w:sz w:val="20"/>
                <w:szCs w:val="20"/>
              </w:rPr>
            </w:pPr>
          </w:p>
          <w:p w:rsidR="00DC7AD7" w:rsidRDefault="00DC7AD7" w:rsidP="00097BFC">
            <w:pPr>
              <w:spacing w:after="60" w:line="240" w:lineRule="auto"/>
              <w:jc w:val="both"/>
              <w:rPr>
                <w:rFonts w:ascii="Times New Roman" w:eastAsia="Times New Roman" w:hAnsi="Times New Roman" w:cs="Times New Roman"/>
                <w:sz w:val="20"/>
                <w:szCs w:val="20"/>
              </w:rPr>
            </w:pPr>
            <w:r w:rsidRPr="00575B68">
              <w:rPr>
                <w:rFonts w:ascii="Times New Roman" w:eastAsia="Times New Roman" w:hAnsi="Times New Roman" w:cs="Times New Roman"/>
                <w:sz w:val="20"/>
                <w:szCs w:val="20"/>
              </w:rPr>
              <w:lastRenderedPageBreak/>
              <w:t>I.</w:t>
            </w:r>
            <w:r>
              <w:rPr>
                <w:rFonts w:ascii="Times New Roman" w:eastAsia="Times New Roman" w:hAnsi="Times New Roman" w:cs="Times New Roman"/>
                <w:sz w:val="20"/>
                <w:szCs w:val="20"/>
              </w:rPr>
              <w:t xml:space="preserve"> П</w:t>
            </w:r>
            <w:r w:rsidRPr="00575B68">
              <w:rPr>
                <w:rFonts w:ascii="Times New Roman" w:eastAsia="Times New Roman" w:hAnsi="Times New Roman" w:cs="Times New Roman"/>
                <w:sz w:val="20"/>
                <w:szCs w:val="20"/>
              </w:rPr>
              <w:t xml:space="preserve">о законопроекта за държавния бюджет на </w:t>
            </w:r>
            <w:r>
              <w:rPr>
                <w:rFonts w:ascii="Times New Roman" w:eastAsia="Times New Roman" w:hAnsi="Times New Roman" w:cs="Times New Roman"/>
                <w:sz w:val="20"/>
                <w:szCs w:val="20"/>
              </w:rPr>
              <w:t>Р</w:t>
            </w:r>
            <w:r w:rsidRPr="00575B68">
              <w:rPr>
                <w:rFonts w:ascii="Times New Roman" w:eastAsia="Times New Roman" w:hAnsi="Times New Roman" w:cs="Times New Roman"/>
                <w:sz w:val="20"/>
                <w:szCs w:val="20"/>
              </w:rPr>
              <w:t xml:space="preserve">епублика </w:t>
            </w:r>
            <w:r>
              <w:rPr>
                <w:rFonts w:ascii="Times New Roman" w:eastAsia="Times New Roman" w:hAnsi="Times New Roman" w:cs="Times New Roman"/>
                <w:sz w:val="20"/>
                <w:szCs w:val="20"/>
              </w:rPr>
              <w:t>Б</w:t>
            </w:r>
            <w:r w:rsidRPr="00575B68">
              <w:rPr>
                <w:rFonts w:ascii="Times New Roman" w:eastAsia="Times New Roman" w:hAnsi="Times New Roman" w:cs="Times New Roman"/>
                <w:sz w:val="20"/>
                <w:szCs w:val="20"/>
              </w:rPr>
              <w:t>ългария за 2024 г.</w:t>
            </w:r>
          </w:p>
          <w:p w:rsidR="00DC7AD7" w:rsidRDefault="00DC7AD7" w:rsidP="00097BFC">
            <w:pPr>
              <w:spacing w:after="60" w:line="240" w:lineRule="auto"/>
              <w:jc w:val="both"/>
              <w:rPr>
                <w:rFonts w:ascii="Times New Roman" w:eastAsia="Times New Roman" w:hAnsi="Times New Roman" w:cs="Times New Roman"/>
                <w:sz w:val="20"/>
                <w:szCs w:val="20"/>
              </w:rPr>
            </w:pPr>
            <w:r w:rsidRPr="00575B68">
              <w:rPr>
                <w:rFonts w:ascii="Times New Roman" w:eastAsia="Times New Roman" w:hAnsi="Times New Roman" w:cs="Times New Roman"/>
                <w:sz w:val="20"/>
                <w:szCs w:val="20"/>
              </w:rPr>
              <w:t>1. В чл. 23, ал. 1, таблицата да се замени с:</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575B68">
              <w:rPr>
                <w:rFonts w:ascii="Times New Roman" w:eastAsia="Times New Roman" w:hAnsi="Times New Roman" w:cs="Times New Roman"/>
                <w:i/>
                <w:sz w:val="20"/>
                <w:szCs w:val="20"/>
              </w:rPr>
              <w:t>(съгласно писмото)</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Приема се</w:t>
            </w:r>
          </w:p>
          <w:p w:rsidR="00DC7AD7" w:rsidRPr="00657A5B" w:rsidRDefault="00DC7AD7" w:rsidP="00DC7AD7">
            <w:pPr>
              <w:spacing w:after="0" w:line="240" w:lineRule="auto"/>
              <w:rPr>
                <w:rFonts w:ascii="Times New Roman" w:eastAsia="Times New Roman" w:hAnsi="Times New Roman" w:cs="Times New Roman"/>
                <w:b/>
                <w:sz w:val="20"/>
                <w:szCs w:val="20"/>
              </w:rPr>
            </w:pP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Pr="0044086A"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Отразено в законопроекта за държавния бюджет на РБ за 2024 г.</w:t>
            </w:r>
          </w:p>
        </w:tc>
      </w:tr>
      <w:tr w:rsidR="00DC7AD7" w:rsidRPr="00F62685" w:rsidTr="00F04D96">
        <w:trPr>
          <w:trHeight w:val="161"/>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Default="00DC7AD7" w:rsidP="00097BFC">
            <w:pPr>
              <w:spacing w:after="60" w:line="240" w:lineRule="auto"/>
              <w:jc w:val="both"/>
              <w:rPr>
                <w:rFonts w:ascii="Times New Roman" w:eastAsia="Times New Roman" w:hAnsi="Times New Roman" w:cs="Times New Roman"/>
                <w:sz w:val="20"/>
                <w:szCs w:val="20"/>
              </w:rPr>
            </w:pPr>
            <w:r w:rsidRPr="00575B68">
              <w:rPr>
                <w:rFonts w:ascii="Times New Roman" w:eastAsia="Times New Roman" w:hAnsi="Times New Roman" w:cs="Times New Roman"/>
                <w:sz w:val="20"/>
                <w:szCs w:val="20"/>
              </w:rPr>
              <w:t>2. В чл. 23, ал. 2, таблицата да се замени с:</w:t>
            </w:r>
          </w:p>
          <w:p w:rsidR="00DC7AD7" w:rsidRPr="00575B68" w:rsidRDefault="00DC7AD7" w:rsidP="00097BFC">
            <w:pPr>
              <w:spacing w:after="60" w:line="240" w:lineRule="auto"/>
              <w:jc w:val="both"/>
              <w:rPr>
                <w:rFonts w:ascii="Times New Roman" w:eastAsia="Times New Roman" w:hAnsi="Times New Roman" w:cs="Times New Roman"/>
                <w:i/>
                <w:sz w:val="20"/>
                <w:szCs w:val="20"/>
              </w:rPr>
            </w:pPr>
            <w:r w:rsidRPr="00575B68">
              <w:rPr>
                <w:rFonts w:ascii="Times New Roman" w:eastAsia="Times New Roman" w:hAnsi="Times New Roman" w:cs="Times New Roman"/>
                <w:i/>
                <w:sz w:val="20"/>
                <w:szCs w:val="20"/>
              </w:rPr>
              <w:t>(съгласно писмото)</w:t>
            </w:r>
          </w:p>
          <w:p w:rsidR="00DC7AD7" w:rsidRPr="00FF38DD" w:rsidRDefault="00DC7AD7" w:rsidP="00097BFC">
            <w:pPr>
              <w:spacing w:after="60" w:line="240" w:lineRule="auto"/>
              <w:jc w:val="both"/>
              <w:rPr>
                <w:rFonts w:ascii="Times New Roman" w:eastAsia="Times New Roman" w:hAnsi="Times New Roman" w:cs="Times New Roman"/>
                <w:sz w:val="20"/>
                <w:szCs w:val="20"/>
              </w:rPr>
            </w:pPr>
            <w:r w:rsidRPr="00575B68">
              <w:rPr>
                <w:rFonts w:ascii="Times New Roman" w:eastAsia="Times New Roman" w:hAnsi="Times New Roman" w:cs="Times New Roman"/>
                <w:sz w:val="20"/>
                <w:szCs w:val="20"/>
              </w:rPr>
              <w:t xml:space="preserve">Мотиви към т.1 и т.2: Преразпределение на разходите, в съответствие с актуализирания проектобюджет на МРРБ за 2024 г. и АБП за 2025 и 2026 г. Отразено е намаление в приходната и разходната част на бюджета на МРРБ за 2024 г. с 43 000 000 лв. във връзка с очакваните промени в Тарифата за таксите, които се събират за преминаване и ползване на републиканската пътна мрежа, в частта на </w:t>
            </w:r>
            <w:proofErr w:type="spellStart"/>
            <w:r w:rsidRPr="00575B68">
              <w:rPr>
                <w:rFonts w:ascii="Times New Roman" w:eastAsia="Times New Roman" w:hAnsi="Times New Roman" w:cs="Times New Roman"/>
                <w:sz w:val="20"/>
                <w:szCs w:val="20"/>
              </w:rPr>
              <w:t>тол</w:t>
            </w:r>
            <w:proofErr w:type="spellEnd"/>
            <w:r w:rsidRPr="00575B68">
              <w:rPr>
                <w:rFonts w:ascii="Times New Roman" w:eastAsia="Times New Roman" w:hAnsi="Times New Roman" w:cs="Times New Roman"/>
                <w:sz w:val="20"/>
                <w:szCs w:val="20"/>
              </w:rPr>
              <w:t xml:space="preserve"> таксата, за всички пътни превозни средства с обща технически допустима максимална маса над 3,5 тона, чрез въвеждане на отстъпки на база изминати километри.</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Приема се</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Отразено в законопроекта за държавния бюджет на РБ за 2024 г.</w:t>
            </w:r>
          </w:p>
          <w:p w:rsidR="00DC7AD7" w:rsidRPr="00F62685" w:rsidRDefault="00DC7AD7" w:rsidP="00DC7AD7">
            <w:pPr>
              <w:spacing w:after="0" w:line="240" w:lineRule="auto"/>
              <w:jc w:val="both"/>
              <w:rPr>
                <w:rFonts w:ascii="Times New Roman" w:eastAsia="Times New Roman" w:hAnsi="Times New Roman" w:cs="Times New Roman"/>
                <w:b/>
                <w:sz w:val="20"/>
                <w:szCs w:val="20"/>
              </w:rPr>
            </w:pPr>
          </w:p>
        </w:tc>
      </w:tr>
      <w:tr w:rsidR="00DC7AD7" w:rsidRPr="00F62685" w:rsidTr="00F04D96">
        <w:trPr>
          <w:trHeight w:val="161"/>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Default="00DC7AD7" w:rsidP="00097BFC">
            <w:pPr>
              <w:spacing w:after="60" w:line="240" w:lineRule="auto"/>
              <w:jc w:val="both"/>
              <w:rPr>
                <w:rFonts w:ascii="Times New Roman" w:eastAsia="Times New Roman" w:hAnsi="Times New Roman" w:cs="Times New Roman"/>
                <w:sz w:val="20"/>
                <w:szCs w:val="20"/>
              </w:rPr>
            </w:pPr>
            <w:r w:rsidRPr="00575B68">
              <w:rPr>
                <w:rFonts w:ascii="Times New Roman" w:eastAsia="Times New Roman" w:hAnsi="Times New Roman" w:cs="Times New Roman"/>
                <w:sz w:val="20"/>
                <w:szCs w:val="20"/>
              </w:rPr>
              <w:t>3. В чл. 23, ал. 3, таблицата да се замени с:</w:t>
            </w:r>
          </w:p>
          <w:p w:rsidR="00DC7AD7" w:rsidRPr="00575B68" w:rsidRDefault="00DC7AD7" w:rsidP="00097BFC">
            <w:pPr>
              <w:spacing w:after="60" w:line="240" w:lineRule="auto"/>
              <w:jc w:val="both"/>
              <w:rPr>
                <w:rFonts w:ascii="Times New Roman" w:eastAsia="Times New Roman" w:hAnsi="Times New Roman" w:cs="Times New Roman"/>
                <w:i/>
                <w:sz w:val="20"/>
                <w:szCs w:val="20"/>
              </w:rPr>
            </w:pPr>
            <w:r w:rsidRPr="00575B68">
              <w:rPr>
                <w:rFonts w:ascii="Times New Roman" w:eastAsia="Times New Roman" w:hAnsi="Times New Roman" w:cs="Times New Roman"/>
                <w:i/>
                <w:sz w:val="20"/>
                <w:szCs w:val="20"/>
              </w:rPr>
              <w:t>(съгласно писмото)</w:t>
            </w:r>
          </w:p>
          <w:p w:rsidR="00DC7AD7" w:rsidRPr="00575B68" w:rsidRDefault="00DC7AD7" w:rsidP="00097BFC">
            <w:pPr>
              <w:spacing w:after="60" w:line="240" w:lineRule="auto"/>
              <w:jc w:val="both"/>
              <w:rPr>
                <w:rFonts w:ascii="Times New Roman" w:eastAsia="Times New Roman" w:hAnsi="Times New Roman" w:cs="Times New Roman"/>
                <w:sz w:val="20"/>
                <w:szCs w:val="20"/>
              </w:rPr>
            </w:pPr>
            <w:r w:rsidRPr="00575B68">
              <w:rPr>
                <w:rFonts w:ascii="Times New Roman" w:eastAsia="Times New Roman" w:hAnsi="Times New Roman" w:cs="Times New Roman"/>
                <w:sz w:val="20"/>
                <w:szCs w:val="20"/>
              </w:rPr>
              <w:t>Мотиви: Предложеното завишение на показателя по т.1, е във връзка с предстоящи за поемане през 2024 г. ангажименти за разходи по договори за ТРП, строителство и основен ремонт на РПМ от страна на Агенция „Пътна инфраструктура“, които са с многогодишен срок за изпълнение и съответно стойностите на поетите ангажименти за разходи не е възможно да съвпадат с максималния размер на новите задължения за разходи, които могат да бъдат натрупани през 2024 г. Разчетите за максималния размер на ангажиментите за разходи, които могат да бъдат поети през 2024 г., са Ви предоставени по надлежния ред.</w:t>
            </w:r>
          </w:p>
          <w:p w:rsidR="00DC7AD7" w:rsidRPr="00FF38DD" w:rsidRDefault="00DC7AD7" w:rsidP="00014BD9">
            <w:pPr>
              <w:spacing w:after="60" w:line="240" w:lineRule="auto"/>
              <w:jc w:val="both"/>
              <w:rPr>
                <w:rFonts w:ascii="Times New Roman" w:eastAsia="Times New Roman" w:hAnsi="Times New Roman" w:cs="Times New Roman"/>
                <w:sz w:val="20"/>
                <w:szCs w:val="20"/>
              </w:rPr>
            </w:pPr>
            <w:r w:rsidRPr="00575B68">
              <w:rPr>
                <w:rFonts w:ascii="Times New Roman" w:eastAsia="Times New Roman" w:hAnsi="Times New Roman" w:cs="Times New Roman"/>
                <w:sz w:val="20"/>
                <w:szCs w:val="20"/>
              </w:rPr>
              <w:t>Промяната в показателя по т. 2 е във връзка с прогнозните плащания от сметки за чужди средства през 2024 г. за изпълнението на Националната програма за енергийна ефективност на многофамилните жилищни сгради, в размер на 18 084,2 хил. лв.</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3. Приема се</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 Отразено в законопроекта за държавния бюджет на РБ за 2024 г.</w:t>
            </w:r>
          </w:p>
          <w:p w:rsidR="00DC7AD7" w:rsidRPr="00F62685" w:rsidRDefault="00DC7AD7" w:rsidP="00DC7AD7">
            <w:pPr>
              <w:spacing w:after="0" w:line="240" w:lineRule="auto"/>
              <w:jc w:val="both"/>
              <w:rPr>
                <w:rFonts w:ascii="Times New Roman" w:eastAsia="Times New Roman" w:hAnsi="Times New Roman" w:cs="Times New Roman"/>
                <w:b/>
                <w:sz w:val="20"/>
                <w:szCs w:val="20"/>
              </w:rPr>
            </w:pPr>
          </w:p>
        </w:tc>
      </w:tr>
      <w:tr w:rsidR="00DC7AD7" w:rsidRPr="00F62685" w:rsidTr="00F04D96">
        <w:trPr>
          <w:trHeight w:val="161"/>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575B68"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w:t>
            </w:r>
            <w:r w:rsidRPr="00575B68">
              <w:rPr>
                <w:rFonts w:ascii="Times New Roman" w:eastAsia="Times New Roman" w:hAnsi="Times New Roman" w:cs="Times New Roman"/>
                <w:sz w:val="20"/>
                <w:szCs w:val="20"/>
              </w:rPr>
              <w:t xml:space="preserve"> Чл. 57, ал. 2 да отпадне.</w:t>
            </w:r>
          </w:p>
          <w:p w:rsidR="00DC7AD7" w:rsidRPr="00575B68" w:rsidRDefault="00DC7AD7" w:rsidP="00097BFC">
            <w:pPr>
              <w:spacing w:after="60" w:line="240" w:lineRule="auto"/>
              <w:jc w:val="both"/>
              <w:rPr>
                <w:rFonts w:ascii="Times New Roman" w:eastAsia="Times New Roman" w:hAnsi="Times New Roman" w:cs="Times New Roman"/>
                <w:sz w:val="20"/>
                <w:szCs w:val="20"/>
              </w:rPr>
            </w:pPr>
            <w:r w:rsidRPr="00575B68">
              <w:rPr>
                <w:rFonts w:ascii="Times New Roman" w:eastAsia="Times New Roman" w:hAnsi="Times New Roman" w:cs="Times New Roman"/>
                <w:sz w:val="20"/>
                <w:szCs w:val="20"/>
              </w:rPr>
              <w:t xml:space="preserve">Мотиви: В ЗУТ се съдържа легална дефиниция за текущ и основен ремонт. Отговорност на всеки възложител е да определи вида на ремонта. Различните видове СМР са голям брой, с оглед на което не могат да бъдат изчерпателно посочени. В допълнение трябва да се отбележи, че министърът на регионалното развитие и благоустройството, чрез ДНСК, упражнява контрол върху тази дейност, предвид което би се получила колизия - от една страна </w:t>
            </w:r>
            <w:r w:rsidRPr="00575B68">
              <w:rPr>
                <w:rFonts w:ascii="Times New Roman" w:eastAsia="Times New Roman" w:hAnsi="Times New Roman" w:cs="Times New Roman"/>
                <w:sz w:val="20"/>
                <w:szCs w:val="20"/>
              </w:rPr>
              <w:lastRenderedPageBreak/>
              <w:t>определя видовете дейности, след което осъществява контрол върху изпълнението на същите.</w:t>
            </w:r>
          </w:p>
          <w:p w:rsidR="00DC7AD7" w:rsidRPr="00FF38DD"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Приема предложението с прецизиране и на ал. 1</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Окончателна редакция на чл. 57, отразена в проекта на ЗДБРБ за 2024 г.</w:t>
            </w:r>
          </w:p>
          <w:p w:rsidR="00DC7AD7" w:rsidRDefault="00DC7AD7" w:rsidP="00014BD9">
            <w:pPr>
              <w:spacing w:after="60" w:line="240" w:lineRule="auto"/>
              <w:jc w:val="both"/>
              <w:rPr>
                <w:rFonts w:ascii="Times New Roman" w:eastAsia="Times New Roman" w:hAnsi="Times New Roman" w:cs="Times New Roman"/>
                <w:sz w:val="20"/>
                <w:szCs w:val="20"/>
              </w:rPr>
            </w:pPr>
            <w:r w:rsidRPr="001C0AF8">
              <w:rPr>
                <w:rFonts w:ascii="Times New Roman" w:eastAsia="Times New Roman" w:hAnsi="Times New Roman" w:cs="Times New Roman"/>
                <w:sz w:val="20"/>
                <w:szCs w:val="20"/>
              </w:rPr>
              <w:t xml:space="preserve">Чл. 57. (1) </w:t>
            </w:r>
            <w:r>
              <w:rPr>
                <w:rFonts w:ascii="Times New Roman" w:eastAsia="Times New Roman" w:hAnsi="Times New Roman" w:cs="Times New Roman"/>
                <w:sz w:val="20"/>
                <w:szCs w:val="20"/>
              </w:rPr>
              <w:t>Ц</w:t>
            </w:r>
            <w:r w:rsidRPr="001C0AF8">
              <w:rPr>
                <w:rFonts w:ascii="Times New Roman" w:eastAsia="Times New Roman" w:hAnsi="Times New Roman" w:cs="Times New Roman"/>
                <w:sz w:val="20"/>
                <w:szCs w:val="20"/>
              </w:rPr>
              <w:t xml:space="preserve">елевата субсидия за капиталови разходи по чл. 53 може да бъде трансформирана в трансфер за други целеви разходи на общината за извършване на неотложни текущи ремонти на общински пътища, на улична мрежа и на сгради, публична общинска собственост по ред и условия, определени с </w:t>
            </w:r>
            <w:r w:rsidRPr="001C0AF8">
              <w:rPr>
                <w:rFonts w:ascii="Times New Roman" w:eastAsia="Times New Roman" w:hAnsi="Times New Roman" w:cs="Times New Roman"/>
                <w:sz w:val="20"/>
                <w:szCs w:val="20"/>
              </w:rPr>
              <w:lastRenderedPageBreak/>
              <w:t>постановлението за изпълнението на държавния бюджет на Република България за 2024 г.</w:t>
            </w:r>
          </w:p>
          <w:p w:rsidR="00DC7AD7" w:rsidRPr="00A42E2D" w:rsidRDefault="00DC7AD7" w:rsidP="00014BD9">
            <w:pPr>
              <w:spacing w:after="60" w:line="240" w:lineRule="auto"/>
              <w:jc w:val="both"/>
              <w:rPr>
                <w:rFonts w:ascii="Times New Roman" w:eastAsia="Times New Roman" w:hAnsi="Times New Roman" w:cs="Times New Roman"/>
                <w:sz w:val="20"/>
                <w:szCs w:val="20"/>
              </w:rPr>
            </w:pPr>
            <w:r w:rsidRPr="001C0AF8">
              <w:rPr>
                <w:rFonts w:ascii="Times New Roman" w:eastAsia="Times New Roman" w:hAnsi="Times New Roman" w:cs="Times New Roman"/>
                <w:sz w:val="20"/>
                <w:szCs w:val="20"/>
              </w:rPr>
              <w:t>(</w:t>
            </w:r>
            <w:r>
              <w:rPr>
                <w:rFonts w:ascii="Times New Roman" w:eastAsia="Times New Roman" w:hAnsi="Times New Roman" w:cs="Times New Roman"/>
                <w:sz w:val="20"/>
                <w:szCs w:val="20"/>
              </w:rPr>
              <w:t>2</w:t>
            </w:r>
            <w:r w:rsidRPr="001C0AF8">
              <w:rPr>
                <w:rFonts w:ascii="Times New Roman" w:eastAsia="Times New Roman" w:hAnsi="Times New Roman" w:cs="Times New Roman"/>
                <w:sz w:val="20"/>
                <w:szCs w:val="20"/>
              </w:rPr>
              <w:t>) В рамките на бюджетните взаимоотношения на общината с централния бюджет произтичащите от ал. 1 промени се извършват от министъра на финансите по предложение на кмета на общината въз основа на решение на общинския съвет.</w:t>
            </w:r>
          </w:p>
        </w:tc>
      </w:tr>
      <w:tr w:rsidR="005329BF" w:rsidRPr="00F62685" w:rsidTr="00F04D96">
        <w:trPr>
          <w:trHeight w:val="161"/>
        </w:trPr>
        <w:tc>
          <w:tcPr>
            <w:tcW w:w="941" w:type="pct"/>
            <w:shd w:val="clear" w:color="auto" w:fill="auto"/>
          </w:tcPr>
          <w:p w:rsidR="005329BF" w:rsidRPr="00F62685" w:rsidRDefault="005329BF" w:rsidP="005329BF">
            <w:pPr>
              <w:spacing w:after="0" w:line="240" w:lineRule="auto"/>
              <w:rPr>
                <w:rFonts w:ascii="Times New Roman" w:eastAsia="Times New Roman" w:hAnsi="Times New Roman" w:cs="Times New Roman"/>
                <w:b/>
                <w:sz w:val="20"/>
                <w:szCs w:val="20"/>
              </w:rPr>
            </w:pPr>
          </w:p>
        </w:tc>
        <w:tc>
          <w:tcPr>
            <w:tcW w:w="1868" w:type="pct"/>
            <w:shd w:val="clear" w:color="auto" w:fill="auto"/>
          </w:tcPr>
          <w:p w:rsidR="005329BF" w:rsidRPr="00575B68" w:rsidRDefault="005329BF" w:rsidP="005329BF">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w:t>
            </w:r>
            <w:r w:rsidRPr="00575B68">
              <w:rPr>
                <w:rFonts w:ascii="Times New Roman" w:eastAsia="Times New Roman" w:hAnsi="Times New Roman" w:cs="Times New Roman"/>
                <w:sz w:val="20"/>
                <w:szCs w:val="20"/>
              </w:rPr>
              <w:t xml:space="preserve"> Предлагаме чл. 92 да се измени така:</w:t>
            </w:r>
          </w:p>
          <w:p w:rsidR="005329BF" w:rsidRPr="00575B68" w:rsidRDefault="005329BF" w:rsidP="005329BF">
            <w:pPr>
              <w:spacing w:after="60" w:line="240" w:lineRule="auto"/>
              <w:jc w:val="both"/>
              <w:rPr>
                <w:rFonts w:ascii="Times New Roman" w:eastAsia="Times New Roman" w:hAnsi="Times New Roman" w:cs="Times New Roman"/>
                <w:sz w:val="20"/>
                <w:szCs w:val="20"/>
              </w:rPr>
            </w:pPr>
            <w:r w:rsidRPr="00575B68">
              <w:rPr>
                <w:rFonts w:ascii="Times New Roman" w:eastAsia="Times New Roman" w:hAnsi="Times New Roman" w:cs="Times New Roman"/>
                <w:sz w:val="20"/>
                <w:szCs w:val="20"/>
              </w:rPr>
              <w:t>„Чл. 92. Министерският съвет, по предложение на министъра на регионалното развитие и благоустройството, приема Национална програма за финансиране на основен ремонт и реконструкция на улици и общински пътища, за основен ремонт, реконструкция и изграждане на ВиК системи и съоръжения, представляващи публична общинска собственост, както и за благоустройствени дейности, за периода 2024 - 2025 г. по проекти на общините с общ индикативен размер до 1,0 млрд. лв.“</w:t>
            </w:r>
          </w:p>
          <w:p w:rsidR="005329BF" w:rsidRPr="00FF38DD" w:rsidRDefault="005329BF" w:rsidP="005329BF">
            <w:pPr>
              <w:spacing w:after="60" w:line="240" w:lineRule="auto"/>
              <w:jc w:val="both"/>
              <w:rPr>
                <w:rFonts w:ascii="Times New Roman" w:eastAsia="Times New Roman" w:hAnsi="Times New Roman" w:cs="Times New Roman"/>
                <w:sz w:val="20"/>
                <w:szCs w:val="20"/>
              </w:rPr>
            </w:pPr>
            <w:r w:rsidRPr="00575B68">
              <w:rPr>
                <w:rFonts w:ascii="Times New Roman" w:eastAsia="Times New Roman" w:hAnsi="Times New Roman" w:cs="Times New Roman"/>
                <w:sz w:val="20"/>
                <w:szCs w:val="20"/>
              </w:rPr>
              <w:t>Мотиви: Постигане на прецизност съобразно правомощията на министъра на регионалното развитие и благоустройството.</w:t>
            </w:r>
          </w:p>
        </w:tc>
        <w:tc>
          <w:tcPr>
            <w:tcW w:w="574" w:type="pct"/>
            <w:shd w:val="clear" w:color="auto" w:fill="auto"/>
          </w:tcPr>
          <w:p w:rsidR="005329BF" w:rsidRPr="00657A5B" w:rsidRDefault="005329BF" w:rsidP="005329BF">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Приема предложението</w:t>
            </w:r>
            <w:r w:rsidRPr="00657A5B">
              <w:rPr>
                <w:rFonts w:ascii="Times New Roman" w:eastAsia="Times New Roman" w:hAnsi="Times New Roman" w:cs="Times New Roman"/>
                <w:b/>
                <w:sz w:val="20"/>
                <w:szCs w:val="20"/>
                <w:lang w:val="ru-RU"/>
              </w:rPr>
              <w:t xml:space="preserve"> </w:t>
            </w:r>
            <w:r w:rsidRPr="00657A5B">
              <w:rPr>
                <w:rFonts w:ascii="Times New Roman" w:eastAsia="Times New Roman" w:hAnsi="Times New Roman" w:cs="Times New Roman"/>
                <w:b/>
                <w:sz w:val="20"/>
                <w:szCs w:val="20"/>
              </w:rPr>
              <w:t>с редакция на текста</w:t>
            </w:r>
          </w:p>
        </w:tc>
        <w:tc>
          <w:tcPr>
            <w:tcW w:w="1617" w:type="pct"/>
            <w:shd w:val="clear" w:color="auto" w:fill="auto"/>
          </w:tcPr>
          <w:p w:rsidR="005329BF" w:rsidRPr="00CB5521" w:rsidRDefault="005329BF" w:rsidP="005329B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Окончателна</w:t>
            </w:r>
            <w:r w:rsidR="00CE6F3F">
              <w:rPr>
                <w:rFonts w:ascii="Times New Roman" w:eastAsia="Times New Roman" w:hAnsi="Times New Roman" w:cs="Times New Roman"/>
                <w:sz w:val="20"/>
                <w:szCs w:val="20"/>
              </w:rPr>
              <w:t>та</w:t>
            </w:r>
            <w:r>
              <w:rPr>
                <w:rFonts w:ascii="Times New Roman" w:eastAsia="Times New Roman" w:hAnsi="Times New Roman" w:cs="Times New Roman"/>
                <w:sz w:val="20"/>
                <w:szCs w:val="20"/>
              </w:rPr>
              <w:t xml:space="preserve"> редакция е отразена в разпоредбите на проекта на ЗДБРБ за 2024 г.</w:t>
            </w:r>
          </w:p>
        </w:tc>
      </w:tr>
      <w:tr w:rsidR="00DC7AD7" w:rsidRPr="00F62685" w:rsidTr="00F04D96">
        <w:trPr>
          <w:trHeight w:val="161"/>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F38DD" w:rsidRDefault="00DC7AD7" w:rsidP="00097BFC">
            <w:pPr>
              <w:spacing w:after="60" w:line="240" w:lineRule="auto"/>
              <w:jc w:val="both"/>
              <w:rPr>
                <w:rFonts w:ascii="Times New Roman" w:eastAsia="Times New Roman" w:hAnsi="Times New Roman" w:cs="Times New Roman"/>
                <w:sz w:val="20"/>
                <w:szCs w:val="20"/>
              </w:rPr>
            </w:pPr>
            <w:r w:rsidRPr="00FF38DD">
              <w:rPr>
                <w:rFonts w:ascii="Times New Roman" w:eastAsia="Times New Roman" w:hAnsi="Times New Roman" w:cs="Times New Roman"/>
                <w:sz w:val="20"/>
                <w:szCs w:val="20"/>
              </w:rPr>
              <w:t>II.</w:t>
            </w:r>
            <w:r w:rsidRPr="00FF38DD">
              <w:rPr>
                <w:rFonts w:ascii="Times New Roman" w:eastAsia="Times New Roman" w:hAnsi="Times New Roman" w:cs="Times New Roman"/>
                <w:sz w:val="20"/>
                <w:szCs w:val="20"/>
              </w:rPr>
              <w:tab/>
              <w:t>ПО ПРОЕКТА НА АКТУАЛИЗИРАНА СРЕДНОСРОЧНА БЮДЖЕТНА</w:t>
            </w:r>
          </w:p>
          <w:p w:rsidR="00DC7AD7" w:rsidRPr="00FF38DD" w:rsidRDefault="00DC7AD7" w:rsidP="00097BFC">
            <w:pPr>
              <w:spacing w:after="60" w:line="240" w:lineRule="auto"/>
              <w:jc w:val="both"/>
              <w:rPr>
                <w:rFonts w:ascii="Times New Roman" w:eastAsia="Times New Roman" w:hAnsi="Times New Roman" w:cs="Times New Roman"/>
                <w:sz w:val="20"/>
                <w:szCs w:val="20"/>
              </w:rPr>
            </w:pPr>
            <w:r w:rsidRPr="00FF38DD">
              <w:rPr>
                <w:rFonts w:ascii="Times New Roman" w:eastAsia="Times New Roman" w:hAnsi="Times New Roman" w:cs="Times New Roman"/>
                <w:sz w:val="20"/>
                <w:szCs w:val="20"/>
              </w:rPr>
              <w:t>ПРОГНОЗА ЗА ПЕРИОДА 2024-2026 Г.:</w:t>
            </w:r>
          </w:p>
          <w:p w:rsidR="00DC7AD7" w:rsidRPr="00FF38DD" w:rsidRDefault="00DC7AD7" w:rsidP="00097BFC">
            <w:pPr>
              <w:spacing w:after="60" w:line="240" w:lineRule="auto"/>
              <w:jc w:val="both"/>
              <w:rPr>
                <w:rFonts w:ascii="Times New Roman" w:eastAsia="Times New Roman" w:hAnsi="Times New Roman" w:cs="Times New Roman"/>
                <w:sz w:val="20"/>
                <w:szCs w:val="20"/>
              </w:rPr>
            </w:pPr>
            <w:r w:rsidRPr="00FF38DD">
              <w:rPr>
                <w:rFonts w:ascii="Times New Roman" w:eastAsia="Times New Roman" w:hAnsi="Times New Roman" w:cs="Times New Roman"/>
                <w:sz w:val="20"/>
                <w:szCs w:val="20"/>
              </w:rPr>
              <w:t>1. В Табл. II-7 на стр. 41-42 се правят следните изменения:</w:t>
            </w:r>
          </w:p>
          <w:p w:rsidR="00DC7AD7" w:rsidRPr="00575B68" w:rsidRDefault="00DC7AD7" w:rsidP="00097BFC">
            <w:pPr>
              <w:spacing w:after="60" w:line="240" w:lineRule="auto"/>
              <w:jc w:val="both"/>
              <w:rPr>
                <w:rFonts w:ascii="Times New Roman" w:eastAsia="Times New Roman" w:hAnsi="Times New Roman" w:cs="Times New Roman"/>
                <w:i/>
                <w:sz w:val="20"/>
                <w:szCs w:val="20"/>
              </w:rPr>
            </w:pPr>
            <w:r w:rsidRPr="00575B68">
              <w:rPr>
                <w:rFonts w:ascii="Times New Roman" w:eastAsia="Times New Roman" w:hAnsi="Times New Roman" w:cs="Times New Roman"/>
                <w:i/>
                <w:sz w:val="20"/>
                <w:szCs w:val="20"/>
              </w:rPr>
              <w:t>(съгласно писмото)</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Приема се</w:t>
            </w: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Отразено в проекта на АСБП за периода 2024-2026 г.</w:t>
            </w:r>
          </w:p>
          <w:p w:rsidR="00DC7AD7" w:rsidRPr="00F62685" w:rsidRDefault="00DC7AD7" w:rsidP="00DC7AD7">
            <w:pPr>
              <w:spacing w:after="0" w:line="240" w:lineRule="auto"/>
              <w:jc w:val="both"/>
              <w:rPr>
                <w:rFonts w:ascii="Times New Roman" w:eastAsia="Times New Roman" w:hAnsi="Times New Roman" w:cs="Times New Roman"/>
                <w:b/>
                <w:sz w:val="20"/>
                <w:szCs w:val="20"/>
              </w:rPr>
            </w:pPr>
          </w:p>
        </w:tc>
      </w:tr>
      <w:tr w:rsidR="00DC7AD7" w:rsidRPr="00F62685" w:rsidTr="00F04D96">
        <w:trPr>
          <w:trHeight w:val="161"/>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575B68" w:rsidRDefault="00DC7AD7" w:rsidP="00097BFC">
            <w:pPr>
              <w:spacing w:after="60" w:line="240" w:lineRule="auto"/>
              <w:jc w:val="both"/>
              <w:rPr>
                <w:rFonts w:ascii="Times New Roman" w:eastAsia="Times New Roman" w:hAnsi="Times New Roman" w:cs="Times New Roman"/>
                <w:i/>
                <w:sz w:val="20"/>
                <w:szCs w:val="20"/>
              </w:rPr>
            </w:pPr>
          </w:p>
          <w:p w:rsidR="00DC7AD7" w:rsidRPr="00FF38DD" w:rsidRDefault="00DC7AD7" w:rsidP="00097BFC">
            <w:pPr>
              <w:spacing w:after="60" w:line="240" w:lineRule="auto"/>
              <w:jc w:val="both"/>
              <w:rPr>
                <w:rFonts w:ascii="Times New Roman" w:eastAsia="Times New Roman" w:hAnsi="Times New Roman" w:cs="Times New Roman"/>
                <w:sz w:val="20"/>
                <w:szCs w:val="20"/>
              </w:rPr>
            </w:pPr>
            <w:r w:rsidRPr="00FF38DD">
              <w:rPr>
                <w:rFonts w:ascii="Times New Roman" w:eastAsia="Times New Roman" w:hAnsi="Times New Roman" w:cs="Times New Roman"/>
                <w:sz w:val="20"/>
                <w:szCs w:val="20"/>
              </w:rPr>
              <w:t>2. Текстът на стр. 43, 6-ти абзац да претърпи следната редакция:</w:t>
            </w:r>
          </w:p>
          <w:p w:rsidR="00DC7AD7" w:rsidRDefault="00DC7AD7" w:rsidP="00097BFC">
            <w:pPr>
              <w:spacing w:after="60" w:line="240" w:lineRule="auto"/>
              <w:jc w:val="both"/>
              <w:rPr>
                <w:rFonts w:ascii="Times New Roman" w:eastAsia="Times New Roman" w:hAnsi="Times New Roman" w:cs="Times New Roman"/>
                <w:sz w:val="20"/>
                <w:szCs w:val="20"/>
              </w:rPr>
            </w:pPr>
            <w:r w:rsidRPr="00FF38DD">
              <w:rPr>
                <w:rFonts w:ascii="Times New Roman" w:eastAsia="Times New Roman" w:hAnsi="Times New Roman" w:cs="Times New Roman"/>
                <w:sz w:val="20"/>
                <w:szCs w:val="20"/>
              </w:rPr>
              <w:t>„Допълнителните разходи, свързани с оперирането на TOJI системата, са в размер на</w:t>
            </w:r>
            <w:r>
              <w:rPr>
                <w:rFonts w:ascii="Times New Roman" w:eastAsia="Times New Roman" w:hAnsi="Times New Roman" w:cs="Times New Roman"/>
                <w:sz w:val="20"/>
                <w:szCs w:val="20"/>
              </w:rPr>
              <w:t xml:space="preserve"> </w:t>
            </w:r>
            <w:r w:rsidRPr="00FF38DD">
              <w:rPr>
                <w:rFonts w:ascii="Times New Roman" w:eastAsia="Times New Roman" w:hAnsi="Times New Roman" w:cs="Times New Roman"/>
                <w:sz w:val="20"/>
                <w:szCs w:val="20"/>
              </w:rPr>
              <w:t>23,2 млн. лв. през 2024 г.“.</w:t>
            </w:r>
          </w:p>
          <w:p w:rsidR="00DC7AD7"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Приема се</w:t>
            </w: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Отразено в проекта на АСБП за периода 2024-2026 г.</w:t>
            </w:r>
          </w:p>
          <w:p w:rsidR="00DC7AD7" w:rsidRPr="00F62685" w:rsidRDefault="00DC7AD7" w:rsidP="00DC7AD7">
            <w:pPr>
              <w:spacing w:after="0" w:line="240" w:lineRule="auto"/>
              <w:jc w:val="both"/>
              <w:rPr>
                <w:rFonts w:ascii="Times New Roman" w:eastAsia="Times New Roman" w:hAnsi="Times New Roman" w:cs="Times New Roman"/>
                <w:b/>
                <w:sz w:val="20"/>
                <w:szCs w:val="20"/>
              </w:rPr>
            </w:pPr>
          </w:p>
        </w:tc>
      </w:tr>
      <w:tr w:rsidR="00DC7AD7" w:rsidRPr="00F62685" w:rsidTr="00F04D96">
        <w:trPr>
          <w:trHeight w:val="161"/>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F38DD"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sidRPr="00FF38DD">
              <w:rPr>
                <w:rFonts w:ascii="Times New Roman" w:eastAsia="Times New Roman" w:hAnsi="Times New Roman" w:cs="Times New Roman"/>
                <w:sz w:val="20"/>
                <w:szCs w:val="20"/>
              </w:rPr>
              <w:t xml:space="preserve"> В Табл. II-8 на стр. 44 се правят следните изменения:</w:t>
            </w:r>
          </w:p>
          <w:p w:rsidR="00DC7AD7" w:rsidRPr="00575B68" w:rsidRDefault="00DC7AD7" w:rsidP="00097BFC">
            <w:pPr>
              <w:spacing w:after="60" w:line="240" w:lineRule="auto"/>
              <w:jc w:val="both"/>
              <w:rPr>
                <w:rFonts w:ascii="Times New Roman" w:eastAsia="Times New Roman" w:hAnsi="Times New Roman" w:cs="Times New Roman"/>
                <w:i/>
                <w:sz w:val="20"/>
                <w:szCs w:val="20"/>
              </w:rPr>
            </w:pPr>
            <w:r w:rsidRPr="00575B68">
              <w:rPr>
                <w:rFonts w:ascii="Times New Roman" w:eastAsia="Times New Roman" w:hAnsi="Times New Roman" w:cs="Times New Roman"/>
                <w:i/>
                <w:sz w:val="20"/>
                <w:szCs w:val="20"/>
              </w:rPr>
              <w:t>(съгласно писмото)</w:t>
            </w:r>
          </w:p>
          <w:p w:rsidR="00DC7AD7"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Приема се</w:t>
            </w: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Отразено в проекта на АСБП за периода 2024-2026 г.</w:t>
            </w:r>
          </w:p>
          <w:p w:rsidR="00DC7AD7" w:rsidRPr="00F62685" w:rsidRDefault="00DC7AD7" w:rsidP="00DC7AD7">
            <w:pPr>
              <w:spacing w:after="0" w:line="240" w:lineRule="auto"/>
              <w:jc w:val="both"/>
              <w:rPr>
                <w:rFonts w:ascii="Times New Roman" w:eastAsia="Times New Roman" w:hAnsi="Times New Roman" w:cs="Times New Roman"/>
                <w:b/>
                <w:sz w:val="20"/>
                <w:szCs w:val="20"/>
              </w:rPr>
            </w:pPr>
          </w:p>
        </w:tc>
      </w:tr>
      <w:tr w:rsidR="00DC7AD7" w:rsidRPr="00F62685" w:rsidTr="00F04D96">
        <w:trPr>
          <w:trHeight w:val="161"/>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F38DD"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4. </w:t>
            </w:r>
            <w:r w:rsidRPr="00FF38DD">
              <w:rPr>
                <w:rFonts w:ascii="Times New Roman" w:eastAsia="Times New Roman" w:hAnsi="Times New Roman" w:cs="Times New Roman"/>
                <w:sz w:val="20"/>
                <w:szCs w:val="20"/>
              </w:rPr>
              <w:t>В т.1.4 на стр.70, във втори абзац текстът да претърпи следната редакция:</w:t>
            </w:r>
          </w:p>
          <w:p w:rsidR="00DC7AD7" w:rsidRDefault="00DC7AD7" w:rsidP="00014BD9">
            <w:pPr>
              <w:spacing w:after="60" w:line="240" w:lineRule="auto"/>
              <w:jc w:val="both"/>
              <w:rPr>
                <w:rFonts w:ascii="Times New Roman" w:eastAsia="Times New Roman" w:hAnsi="Times New Roman" w:cs="Times New Roman"/>
                <w:sz w:val="20"/>
                <w:szCs w:val="20"/>
              </w:rPr>
            </w:pPr>
            <w:r w:rsidRPr="00FF38DD">
              <w:rPr>
                <w:rFonts w:ascii="Times New Roman" w:eastAsia="Times New Roman" w:hAnsi="Times New Roman" w:cs="Times New Roman"/>
                <w:sz w:val="20"/>
                <w:szCs w:val="20"/>
              </w:rPr>
              <w:t xml:space="preserve">„С актове на Министерския съвет през 2022 г. се актуализира тарифата за изминато разстояние и Списъка на републиканските пътища, за които се събира такса за изминато разстояние - TOJ1 такса. В тази връзка за периода 2024-2026 г. се очаква промяна на приходите от държавни такси, като за 2024 г. се очаква увеличение с 23,2 млн. лв. За 2025 г. и 2026 г. се предвижда </w:t>
            </w:r>
            <w:r w:rsidRPr="00FF38DD">
              <w:rPr>
                <w:rFonts w:ascii="Times New Roman" w:eastAsia="Times New Roman" w:hAnsi="Times New Roman" w:cs="Times New Roman"/>
                <w:sz w:val="20"/>
                <w:szCs w:val="20"/>
              </w:rPr>
              <w:lastRenderedPageBreak/>
              <w:t>увеличение на приходите спрямо 2024 г., като се достига размер на приходите от TOJI такси на годишна база от 555,6 млн. лв. Средствата ще бъдат насочени към ефективното поддържане, модернизация и развитие на транспортната инфраструктура, изграждане на магистралните пътища и интеграция на националната пътна инфраструктура в Европейската транспортна мрежа.“</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Приема се</w:t>
            </w: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Отразено в проекта на АСБП за периода 2024-2026 г.</w:t>
            </w:r>
          </w:p>
          <w:p w:rsidR="00DC7AD7" w:rsidRPr="00F62685" w:rsidRDefault="00DC7AD7" w:rsidP="00DC7AD7">
            <w:pPr>
              <w:spacing w:after="0" w:line="240" w:lineRule="auto"/>
              <w:jc w:val="both"/>
              <w:rPr>
                <w:rFonts w:ascii="Times New Roman" w:eastAsia="Times New Roman" w:hAnsi="Times New Roman" w:cs="Times New Roman"/>
                <w:b/>
                <w:sz w:val="20"/>
                <w:szCs w:val="20"/>
              </w:rPr>
            </w:pPr>
          </w:p>
        </w:tc>
      </w:tr>
      <w:tr w:rsidR="00DC7AD7" w:rsidRPr="00F62685" w:rsidTr="00F04D96">
        <w:trPr>
          <w:trHeight w:val="161"/>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F38DD"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w:t>
            </w:r>
            <w:r w:rsidRPr="00FF38DD">
              <w:rPr>
                <w:rFonts w:ascii="Times New Roman" w:eastAsia="Times New Roman" w:hAnsi="Times New Roman" w:cs="Times New Roman"/>
                <w:sz w:val="20"/>
                <w:szCs w:val="20"/>
              </w:rPr>
              <w:t xml:space="preserve"> Лявата част на Табл. </w:t>
            </w:r>
            <w:proofErr w:type="spellStart"/>
            <w:r w:rsidRPr="00FF38DD">
              <w:rPr>
                <w:rFonts w:ascii="Times New Roman" w:eastAsia="Times New Roman" w:hAnsi="Times New Roman" w:cs="Times New Roman"/>
                <w:sz w:val="20"/>
                <w:szCs w:val="20"/>
              </w:rPr>
              <w:t>Ill</w:t>
            </w:r>
            <w:proofErr w:type="spellEnd"/>
            <w:r w:rsidRPr="00FF38DD">
              <w:rPr>
                <w:rFonts w:ascii="Times New Roman" w:eastAsia="Times New Roman" w:hAnsi="Times New Roman" w:cs="Times New Roman"/>
                <w:sz w:val="20"/>
                <w:szCs w:val="20"/>
              </w:rPr>
              <w:t xml:space="preserve"> 1 на стр. 72-73 се изменя така:</w:t>
            </w:r>
          </w:p>
          <w:p w:rsidR="00DC7AD7" w:rsidRDefault="00DC7AD7" w:rsidP="00014BD9">
            <w:pPr>
              <w:spacing w:after="60" w:line="240" w:lineRule="auto"/>
              <w:jc w:val="both"/>
              <w:rPr>
                <w:rFonts w:ascii="Times New Roman" w:eastAsia="Times New Roman" w:hAnsi="Times New Roman" w:cs="Times New Roman"/>
                <w:sz w:val="20"/>
                <w:szCs w:val="20"/>
              </w:rPr>
            </w:pPr>
            <w:r w:rsidRPr="00575B68">
              <w:rPr>
                <w:rFonts w:ascii="Times New Roman" w:eastAsia="Times New Roman" w:hAnsi="Times New Roman" w:cs="Times New Roman"/>
                <w:i/>
                <w:sz w:val="20"/>
                <w:szCs w:val="20"/>
              </w:rPr>
              <w:t>(съгласно писмото)</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Приема се</w:t>
            </w: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Отразено в проекта на АСБП за периода 2024-2026 г.</w:t>
            </w:r>
          </w:p>
          <w:p w:rsidR="00DC7AD7" w:rsidRPr="00F62685" w:rsidRDefault="00DC7AD7" w:rsidP="00DC7AD7">
            <w:pPr>
              <w:spacing w:after="0" w:line="240" w:lineRule="auto"/>
              <w:jc w:val="both"/>
              <w:rPr>
                <w:rFonts w:ascii="Times New Roman" w:eastAsia="Times New Roman" w:hAnsi="Times New Roman" w:cs="Times New Roman"/>
                <w:b/>
                <w:sz w:val="20"/>
                <w:szCs w:val="20"/>
              </w:rPr>
            </w:pPr>
          </w:p>
        </w:tc>
      </w:tr>
      <w:tr w:rsidR="00DC7AD7" w:rsidRPr="00F62685" w:rsidTr="00F04D96">
        <w:trPr>
          <w:trHeight w:val="161"/>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Default="00DC7AD7" w:rsidP="00097BFC">
            <w:pPr>
              <w:spacing w:after="60" w:line="240" w:lineRule="auto"/>
              <w:jc w:val="both"/>
              <w:rPr>
                <w:rFonts w:ascii="Times New Roman" w:eastAsia="Times New Roman" w:hAnsi="Times New Roman" w:cs="Times New Roman"/>
                <w:sz w:val="20"/>
                <w:szCs w:val="20"/>
              </w:rPr>
            </w:pPr>
            <w:r w:rsidRPr="00FF38DD">
              <w:rPr>
                <w:rFonts w:ascii="Times New Roman" w:eastAsia="Times New Roman" w:hAnsi="Times New Roman" w:cs="Times New Roman"/>
                <w:sz w:val="20"/>
                <w:szCs w:val="20"/>
              </w:rPr>
              <w:t>6.</w:t>
            </w:r>
            <w:r w:rsidRPr="00FF38DD">
              <w:rPr>
                <w:rFonts w:ascii="Times New Roman" w:eastAsia="Times New Roman" w:hAnsi="Times New Roman" w:cs="Times New Roman"/>
                <w:sz w:val="20"/>
                <w:szCs w:val="20"/>
              </w:rPr>
              <w:tab/>
              <w:t xml:space="preserve"> Т. 1 на таблицата от стр. 124 да се замени с:</w:t>
            </w:r>
          </w:p>
          <w:p w:rsidR="00DC7AD7" w:rsidRDefault="00DC7AD7" w:rsidP="00014BD9">
            <w:pPr>
              <w:spacing w:after="60" w:line="240" w:lineRule="auto"/>
              <w:jc w:val="both"/>
              <w:rPr>
                <w:rFonts w:ascii="Times New Roman" w:eastAsia="Times New Roman" w:hAnsi="Times New Roman" w:cs="Times New Roman"/>
                <w:sz w:val="20"/>
                <w:szCs w:val="20"/>
              </w:rPr>
            </w:pPr>
            <w:r w:rsidRPr="00575B68">
              <w:rPr>
                <w:rFonts w:ascii="Times New Roman" w:eastAsia="Times New Roman" w:hAnsi="Times New Roman" w:cs="Times New Roman"/>
                <w:i/>
                <w:sz w:val="20"/>
                <w:szCs w:val="20"/>
              </w:rPr>
              <w:t>(съгласно писмото)</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Приема се</w:t>
            </w: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Отразено в проекта на АСБП за периода 2024-2026 г.</w:t>
            </w:r>
          </w:p>
          <w:p w:rsidR="00DC7AD7" w:rsidRPr="00F62685" w:rsidRDefault="00DC7AD7" w:rsidP="00DC7AD7">
            <w:pPr>
              <w:spacing w:after="0" w:line="240" w:lineRule="auto"/>
              <w:jc w:val="both"/>
              <w:rPr>
                <w:rFonts w:ascii="Times New Roman" w:eastAsia="Times New Roman" w:hAnsi="Times New Roman" w:cs="Times New Roman"/>
                <w:b/>
                <w:sz w:val="20"/>
                <w:szCs w:val="20"/>
              </w:rPr>
            </w:pPr>
          </w:p>
        </w:tc>
      </w:tr>
      <w:tr w:rsidR="00DC7AD7" w:rsidRPr="00F62685" w:rsidTr="00F04D96">
        <w:trPr>
          <w:trHeight w:val="161"/>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F38DD" w:rsidRDefault="00DC7AD7" w:rsidP="00097BFC">
            <w:pPr>
              <w:spacing w:after="60" w:line="240" w:lineRule="auto"/>
              <w:jc w:val="both"/>
              <w:rPr>
                <w:rFonts w:ascii="Times New Roman" w:eastAsia="Times New Roman" w:hAnsi="Times New Roman" w:cs="Times New Roman"/>
                <w:sz w:val="20"/>
                <w:szCs w:val="20"/>
              </w:rPr>
            </w:pPr>
            <w:r w:rsidRPr="00FF38DD">
              <w:rPr>
                <w:rFonts w:ascii="Times New Roman" w:eastAsia="Times New Roman" w:hAnsi="Times New Roman" w:cs="Times New Roman"/>
                <w:sz w:val="20"/>
                <w:szCs w:val="20"/>
              </w:rPr>
              <w:t>7. Т. 1 на таблицата от стр. 136 да се замени с:</w:t>
            </w:r>
          </w:p>
          <w:p w:rsidR="00DC7AD7" w:rsidRPr="00575B68" w:rsidRDefault="00DC7AD7" w:rsidP="00097BFC">
            <w:pPr>
              <w:spacing w:after="60" w:line="240" w:lineRule="auto"/>
              <w:jc w:val="both"/>
              <w:rPr>
                <w:rFonts w:ascii="Times New Roman" w:eastAsia="Times New Roman" w:hAnsi="Times New Roman" w:cs="Times New Roman"/>
                <w:i/>
                <w:sz w:val="20"/>
                <w:szCs w:val="20"/>
              </w:rPr>
            </w:pPr>
            <w:r w:rsidRPr="00575B68">
              <w:rPr>
                <w:rFonts w:ascii="Times New Roman" w:eastAsia="Times New Roman" w:hAnsi="Times New Roman" w:cs="Times New Roman"/>
                <w:i/>
                <w:sz w:val="20"/>
                <w:szCs w:val="20"/>
              </w:rPr>
              <w:t>(съгласно писмото)</w:t>
            </w:r>
          </w:p>
          <w:p w:rsidR="00DC7AD7" w:rsidRPr="00FF38DD" w:rsidRDefault="00DC7AD7" w:rsidP="00097BFC">
            <w:pPr>
              <w:spacing w:after="60" w:line="240" w:lineRule="auto"/>
              <w:jc w:val="both"/>
              <w:rPr>
                <w:rFonts w:ascii="Times New Roman" w:eastAsia="Times New Roman" w:hAnsi="Times New Roman" w:cs="Times New Roman"/>
                <w:sz w:val="20"/>
                <w:szCs w:val="20"/>
              </w:rPr>
            </w:pPr>
            <w:r w:rsidRPr="00FF38DD">
              <w:rPr>
                <w:rFonts w:ascii="Times New Roman" w:eastAsia="Times New Roman" w:hAnsi="Times New Roman" w:cs="Times New Roman"/>
                <w:sz w:val="20"/>
                <w:szCs w:val="20"/>
              </w:rPr>
              <w:t>При необходимост и приемане от Ваша страна, моля дадените от МРРБ бележки</w:t>
            </w:r>
            <w:r>
              <w:rPr>
                <w:rFonts w:ascii="Times New Roman" w:eastAsia="Times New Roman" w:hAnsi="Times New Roman" w:cs="Times New Roman"/>
                <w:sz w:val="20"/>
                <w:szCs w:val="20"/>
              </w:rPr>
              <w:t xml:space="preserve"> </w:t>
            </w:r>
            <w:r w:rsidRPr="00FF38DD">
              <w:rPr>
                <w:rFonts w:ascii="Times New Roman" w:eastAsia="Times New Roman" w:hAnsi="Times New Roman" w:cs="Times New Roman"/>
                <w:sz w:val="20"/>
                <w:szCs w:val="20"/>
              </w:rPr>
              <w:t>да намерят отражение във всички останали материали, свързани с проекта на Решение на Министерския съвет за одобряване на законопроект за държавния бюджет на Република България за 2024 г.</w:t>
            </w:r>
          </w:p>
          <w:p w:rsidR="00DC7AD7" w:rsidRDefault="00DC7AD7" w:rsidP="00014BD9">
            <w:pPr>
              <w:spacing w:after="60" w:line="240" w:lineRule="auto"/>
              <w:jc w:val="both"/>
              <w:rPr>
                <w:rFonts w:ascii="Times New Roman" w:eastAsia="Times New Roman" w:hAnsi="Times New Roman" w:cs="Times New Roman"/>
                <w:sz w:val="20"/>
                <w:szCs w:val="20"/>
              </w:rPr>
            </w:pPr>
            <w:r w:rsidRPr="00FF38DD">
              <w:rPr>
                <w:rFonts w:ascii="Times New Roman" w:eastAsia="Times New Roman" w:hAnsi="Times New Roman" w:cs="Times New Roman"/>
                <w:sz w:val="20"/>
                <w:szCs w:val="20"/>
              </w:rPr>
              <w:t>След приемане и отразяване на дадените от МРРБ бележки в материалите към проекта на Решение на Министерския съвет за одобряване на законопроект за държавния бюджет на Република България за 2024 г., ще Ви бъдат предоставени актуализирани приложения по Бюджетна процедура 2024-2026 г. по надлежния ред.</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Приема се</w:t>
            </w: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Отразено в проекта на АСБП за периода 2024-2026 г.</w:t>
            </w:r>
          </w:p>
          <w:p w:rsidR="00DC7AD7" w:rsidRPr="00F62685" w:rsidRDefault="00DC7AD7" w:rsidP="00DC7AD7">
            <w:pPr>
              <w:spacing w:after="0" w:line="240" w:lineRule="auto"/>
              <w:jc w:val="both"/>
              <w:rPr>
                <w:rFonts w:ascii="Times New Roman" w:eastAsia="Times New Roman" w:hAnsi="Times New Roman" w:cs="Times New Roman"/>
                <w:b/>
                <w:sz w:val="20"/>
                <w:szCs w:val="20"/>
              </w:rPr>
            </w:pPr>
          </w:p>
        </w:tc>
      </w:tr>
      <w:tr w:rsidR="00DC7AD7" w:rsidRPr="00F62685" w:rsidTr="00F04D96">
        <w:trPr>
          <w:trHeight w:val="161"/>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F38DD"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III. </w:t>
            </w:r>
            <w:r w:rsidRPr="00FF38DD">
              <w:rPr>
                <w:rFonts w:ascii="Times New Roman" w:eastAsia="Times New Roman" w:hAnsi="Times New Roman" w:cs="Times New Roman"/>
                <w:sz w:val="20"/>
                <w:szCs w:val="20"/>
              </w:rPr>
              <w:t>Предлагаме в преходните и заключителните разпоредби на законопроекта да се предвидят промени в Закона за обществените поръчки, свързани с изменението на цената на договор или рамково споразумение в резултат на инфлация и с предоставянето и освобождаването на гаранции, както следва:</w:t>
            </w:r>
          </w:p>
          <w:p w:rsidR="00DC7AD7" w:rsidRDefault="00DC7AD7" w:rsidP="00097BFC">
            <w:pPr>
              <w:spacing w:after="60" w:line="240" w:lineRule="auto"/>
              <w:jc w:val="both"/>
              <w:rPr>
                <w:rFonts w:ascii="Times New Roman" w:eastAsia="Times New Roman" w:hAnsi="Times New Roman" w:cs="Times New Roman"/>
                <w:sz w:val="20"/>
                <w:szCs w:val="20"/>
              </w:rPr>
            </w:pPr>
            <w:r w:rsidRPr="00FF38DD">
              <w:rPr>
                <w:rFonts w:ascii="Times New Roman" w:eastAsia="Times New Roman" w:hAnsi="Times New Roman" w:cs="Times New Roman"/>
                <w:sz w:val="20"/>
                <w:szCs w:val="20"/>
              </w:rPr>
              <w:t>„§ 1. В Закона за обществените поръчки (обн. ДВ. бр.13 от 2016г., доп. ДВ. бр.34 от 2016г., изм. и доп. ДВ. бр.63, 85, 96 и 102 от 2017г., изм. и доп. ДВ. бр.7, 15, 17, 24, 30, 49, 77, 80, 86, 102 и 105 от 2018г., изм. и доп. ДВ. бр. 17, 83 и 102 от 2019 г., изм. и доп. ДВ. бр. 23 и 107 от 2020г., доп. ДВ. бр. 62 от 2022г., изм. и доп. ДВ. бр.84, 86 и 88 от 2023г.), в чл. 116 се създава нова ал. 3:</w:t>
            </w:r>
          </w:p>
          <w:p w:rsidR="00DC7AD7" w:rsidRPr="00FF38DD" w:rsidRDefault="00DC7AD7" w:rsidP="00097BFC">
            <w:pPr>
              <w:spacing w:after="60" w:line="240" w:lineRule="auto"/>
              <w:jc w:val="both"/>
              <w:rPr>
                <w:rFonts w:ascii="Times New Roman" w:eastAsia="Times New Roman" w:hAnsi="Times New Roman" w:cs="Times New Roman"/>
                <w:sz w:val="20"/>
                <w:szCs w:val="20"/>
              </w:rPr>
            </w:pPr>
            <w:r w:rsidRPr="00FF38DD">
              <w:rPr>
                <w:rFonts w:ascii="Times New Roman" w:eastAsia="Times New Roman" w:hAnsi="Times New Roman" w:cs="Times New Roman"/>
                <w:sz w:val="20"/>
                <w:szCs w:val="20"/>
              </w:rPr>
              <w:t xml:space="preserve">„(3) Ограничението по ал. 2 не се прилага при изменение на цената на договор за обществена поръчка или рамково споразумение при условията на чл. 117а. В този случай общото увеличение на всички изменения на цената в резултат на </w:t>
            </w:r>
            <w:r w:rsidRPr="00FF38DD">
              <w:rPr>
                <w:rFonts w:ascii="Times New Roman" w:eastAsia="Times New Roman" w:hAnsi="Times New Roman" w:cs="Times New Roman"/>
                <w:sz w:val="20"/>
                <w:szCs w:val="20"/>
              </w:rPr>
              <w:lastRenderedPageBreak/>
              <w:t>инфлация не може да превишава с повече от 50 на сто стойността на основния договор или рамковото споразумение.“</w:t>
            </w:r>
          </w:p>
          <w:p w:rsidR="00DC7AD7" w:rsidRDefault="00DC7AD7" w:rsidP="00097BFC">
            <w:pPr>
              <w:spacing w:after="60" w:line="240" w:lineRule="auto"/>
              <w:jc w:val="both"/>
              <w:rPr>
                <w:rFonts w:ascii="Times New Roman" w:eastAsia="Times New Roman" w:hAnsi="Times New Roman" w:cs="Times New Roman"/>
                <w:sz w:val="20"/>
                <w:szCs w:val="20"/>
              </w:rPr>
            </w:pPr>
            <w:r w:rsidRPr="00FF38DD">
              <w:rPr>
                <w:rFonts w:ascii="Times New Roman" w:eastAsia="Times New Roman" w:hAnsi="Times New Roman" w:cs="Times New Roman"/>
                <w:sz w:val="20"/>
                <w:szCs w:val="20"/>
              </w:rPr>
              <w:t>Мотиви: При прилагане на Закона за обществените поръчки (ЗОП) публичните възложители следва да не допускат неравнопоставеност и дискриминация при възлагането на обществени поръчки. Безспорно в приложното поле на закона попада и изпълнението на договора за обществена поръчка или рамково споразумение, като в този смисъл спазването на основните принципи на ЗОП е задължение за възложителя до приключване на договора за възлагане на обществена поръчка (аргумент - чл. 3 от ЗОП). Нормата на чл. 117а препраща към чл. 116, ал. 1, т. 1, 2 и 3 от ЗОП. В този смисъл, при изменение на цената на договор за обществена поръчка или рамково споразумение в резултат на инфлация, при която съществено са увеличени цените на основни стоки и материали, които формират стойността на договора или рамковото споразумение, се прилага ограничението по чл. 116, ал. 2 от ЗОП. Така например ако за възложителя, поради непредвидени обстоятелства, е възникнала необходимост от извършване на допълнително строителство, което не е включено в първоначалната обществена поръчка, и той се е възползвал от възможността да измени договора за обществена поръчка като възложи тези допълнителни дейности и на това основание е достигнал увеличение до 50 на сто стойността на основния договор, това означава, че същият възложител не може да се възползва от възможността да индексира цената на този договор предвид ограничението, заложено в ал. 2 на чл. 116 от ЗОП. По този начин възложителят не може да осигури спазването на принципите на равнопоставеност и недопускане на дискриминация при изпълнението на договорите за обществени поръчки, при които вече са налице изменения по реда на чл. 116, ал. 1, т. 2 и 3 от ЗОП, за които е приложимо ограничението по чл. 116, ал. 2 от ЗОП. В случай че методиката за изменение на цената на договор в резултат на инфлация не може да се приложи, тъй като е достигнато това ограничение, е налице реална опасност от невъзможност за изпълнение на голяма част от договорите за строително- монтажни работи, изпълнявани в периода 2021 - 2023 г. Освен това, в случая е налице и потенциален риск изпълнителите по договорите да отказват и да бъдат демотивирани да сключват допълнителни споразумения за изпълнение на допълнителни дейности при условията на чл.116 от ЗОП, тъй като по този начин ще достигнат ограничението с допълнително възлагане и няма да могат да приложат възможността за изменение на</w:t>
            </w:r>
            <w:r>
              <w:rPr>
                <w:rFonts w:ascii="Times New Roman" w:eastAsia="Times New Roman" w:hAnsi="Times New Roman" w:cs="Times New Roman"/>
                <w:sz w:val="20"/>
                <w:szCs w:val="20"/>
              </w:rPr>
              <w:t xml:space="preserve"> </w:t>
            </w:r>
            <w:r w:rsidRPr="00FF38DD">
              <w:rPr>
                <w:rFonts w:ascii="Times New Roman" w:eastAsia="Times New Roman" w:hAnsi="Times New Roman" w:cs="Times New Roman"/>
                <w:sz w:val="20"/>
                <w:szCs w:val="20"/>
              </w:rPr>
              <w:t xml:space="preserve">цената в резултат на инфлация. По </w:t>
            </w:r>
            <w:r w:rsidRPr="00FF38DD">
              <w:rPr>
                <w:rFonts w:ascii="Times New Roman" w:eastAsia="Times New Roman" w:hAnsi="Times New Roman" w:cs="Times New Roman"/>
                <w:sz w:val="20"/>
                <w:szCs w:val="20"/>
              </w:rPr>
              <w:lastRenderedPageBreak/>
              <w:t>този начин се стига до момент, в който за изпълнител например, на който е възложено допълнително строителство по реда на чл. 116, ал. 1, т. 2 или 3 от ЗОП, методиката за индексация ще е неприложима, защото той вече е достигнал ограничението по ал. 2 на същия член, в случай че това ограничение е приложимо. Дори и да са налице нормативните предпоставки за сключване на споразумение за възлагане на допълнително строителство на основание чл. 116, ал. 1, т. 2 или прилагане на хипотезата по т. 3 от ЗОП, изпълнителите ще отказват да приемат подобно изменение, съответно да подписват каквито и да е допълнителни споразумения в тази връзка, тъй като това ще повлияе на възможността им за индексация или обратното. По този начин се лишават от правен смисъл действащите разпоредби на чл. 116, ал. 1, т. 2 и 3 от ЗОП, чрез прилагането на които до момента възложителят е успявал да осигури изпълнението на сложни и специфични обекти. Ето защо законодателят следва да предостави възможност ограничението на чл. 116, ал. 2 да не се прилага, когато са налице кумулативно допълнително възлагане и изменение на цените в резултат на инфлация.</w:t>
            </w:r>
          </w:p>
          <w:p w:rsidR="00DC7AD7" w:rsidRPr="00FF38DD" w:rsidRDefault="00DC7AD7" w:rsidP="00097BFC">
            <w:pPr>
              <w:spacing w:after="60" w:line="240" w:lineRule="auto"/>
              <w:jc w:val="both"/>
              <w:rPr>
                <w:rFonts w:ascii="Times New Roman" w:eastAsia="Times New Roman" w:hAnsi="Times New Roman" w:cs="Times New Roman"/>
                <w:sz w:val="20"/>
                <w:szCs w:val="20"/>
              </w:rPr>
            </w:pPr>
            <w:r w:rsidRPr="00FF38DD">
              <w:rPr>
                <w:rFonts w:ascii="Times New Roman" w:eastAsia="Times New Roman" w:hAnsi="Times New Roman" w:cs="Times New Roman"/>
                <w:sz w:val="20"/>
                <w:szCs w:val="20"/>
              </w:rPr>
              <w:t>§ 2. В Преходните и заключителни разпоредби на ЗИДЗОП (обн., ДВ, бр. 88 от 20.10.2023 г.) се създава § 93а:</w:t>
            </w:r>
          </w:p>
          <w:p w:rsidR="00DC7AD7" w:rsidRPr="00FF38DD" w:rsidRDefault="00DC7AD7" w:rsidP="00097BFC">
            <w:pPr>
              <w:spacing w:after="60" w:line="240" w:lineRule="auto"/>
              <w:jc w:val="both"/>
              <w:rPr>
                <w:rFonts w:ascii="Times New Roman" w:eastAsia="Times New Roman" w:hAnsi="Times New Roman" w:cs="Times New Roman"/>
                <w:sz w:val="20"/>
                <w:szCs w:val="20"/>
              </w:rPr>
            </w:pPr>
            <w:r w:rsidRPr="00FF38DD">
              <w:rPr>
                <w:rFonts w:ascii="Times New Roman" w:eastAsia="Times New Roman" w:hAnsi="Times New Roman" w:cs="Times New Roman"/>
                <w:sz w:val="20"/>
                <w:szCs w:val="20"/>
              </w:rPr>
              <w:t>„§ 93а. (1) Предоставянето и освобождаването на гаранции по чл. 111, които обезпечават изпълнението на договора и/или авансово предоставените средства по сключени договори за обществени поръчки до 31.12.2023 г., както и за сключени договори след 31.12.2023 г., ако възлагането на поръчката е започнало преди 01.01.2024 г., се урежда по досегашния ред.</w:t>
            </w:r>
          </w:p>
          <w:p w:rsidR="00DC7AD7" w:rsidRPr="00FF38DD" w:rsidRDefault="00DC7AD7" w:rsidP="00097BFC">
            <w:pPr>
              <w:spacing w:after="60" w:line="240" w:lineRule="auto"/>
              <w:jc w:val="both"/>
              <w:rPr>
                <w:rFonts w:ascii="Times New Roman" w:eastAsia="Times New Roman" w:hAnsi="Times New Roman" w:cs="Times New Roman"/>
                <w:sz w:val="20"/>
                <w:szCs w:val="20"/>
              </w:rPr>
            </w:pPr>
            <w:r w:rsidRPr="00FF38DD">
              <w:rPr>
                <w:rFonts w:ascii="Times New Roman" w:eastAsia="Times New Roman" w:hAnsi="Times New Roman" w:cs="Times New Roman"/>
                <w:sz w:val="20"/>
                <w:szCs w:val="20"/>
              </w:rPr>
              <w:t>(2) Разпоредбата на чл. 116, ал. 3 се прилага и за договори за обществени поръчки или рамкови споразумения, сключени до нейното влизане в сила“.</w:t>
            </w:r>
          </w:p>
          <w:p w:rsidR="00DC7AD7" w:rsidRPr="00FF38DD" w:rsidRDefault="00DC7AD7" w:rsidP="00097BFC">
            <w:pPr>
              <w:spacing w:after="60" w:line="240" w:lineRule="auto"/>
              <w:jc w:val="both"/>
              <w:rPr>
                <w:rFonts w:ascii="Times New Roman" w:eastAsia="Times New Roman" w:hAnsi="Times New Roman" w:cs="Times New Roman"/>
                <w:sz w:val="20"/>
                <w:szCs w:val="20"/>
              </w:rPr>
            </w:pPr>
            <w:r w:rsidRPr="00FF38DD">
              <w:rPr>
                <w:rFonts w:ascii="Times New Roman" w:eastAsia="Times New Roman" w:hAnsi="Times New Roman" w:cs="Times New Roman"/>
                <w:sz w:val="20"/>
                <w:szCs w:val="20"/>
              </w:rPr>
              <w:t xml:space="preserve">Мотиви: С § 93 от Преходните и Заключителни разпоредби към Закона за изменение и допълнение на Закона за обществените поръчки (обн., ДВ, бр. 88 от 2023 г., в сила от 22.12.2023 г.) е предвидено, че възлагането на обществени поръчки и сключването на рамкови споразумения, за които до влизането в сила на този закон е взето решение за откриване на процедура, публикувана е обява по чл. 187, ал. 1 или е изпратена покана по чл. 191, се довършват по досегашния ред. Необходимо е тази разпоредба да бъде допълнена като се предвиди уреждане на заварените положения във връзка с изменението на чл. 111 от ЗОП по отношение на вече сключени договори. Аналогично е положението и за договори, които предстои да се сключат, но по които възлагателният процес е започнал преди влизане в сила на </w:t>
            </w:r>
            <w:r w:rsidRPr="00FF38DD">
              <w:rPr>
                <w:rFonts w:ascii="Times New Roman" w:eastAsia="Times New Roman" w:hAnsi="Times New Roman" w:cs="Times New Roman"/>
                <w:sz w:val="20"/>
                <w:szCs w:val="20"/>
              </w:rPr>
              <w:lastRenderedPageBreak/>
              <w:t>промените в чл. 111. Съгласно последното изменение на чл. 111, ал. 7 гаранцията по ал. 5, т. 3 може да се предостави само когато стойността на</w:t>
            </w:r>
            <w:r>
              <w:rPr>
                <w:rFonts w:ascii="Times New Roman" w:eastAsia="Times New Roman" w:hAnsi="Times New Roman" w:cs="Times New Roman"/>
                <w:sz w:val="20"/>
                <w:szCs w:val="20"/>
              </w:rPr>
              <w:t xml:space="preserve"> </w:t>
            </w:r>
            <w:r>
              <w:t xml:space="preserve"> </w:t>
            </w:r>
            <w:r w:rsidRPr="00FF38DD">
              <w:rPr>
                <w:rFonts w:ascii="Times New Roman" w:eastAsia="Times New Roman" w:hAnsi="Times New Roman" w:cs="Times New Roman"/>
                <w:sz w:val="20"/>
                <w:szCs w:val="20"/>
              </w:rPr>
              <w:t>авансово предоставените средства, съответно на гаранцията за изпълнение, е равна или по-малка от 500 000 лв. Въведено е ограничение на възможността за обезпечаване на авансово плащане по договори и/или обезпечаване на доброто изпълнение на договори за обществени поръчки чрез застраховка. Това ограничение ще постави в затруднено положение голяма част от изпълнителите по договорите за обществени поръчки. През последните години, предвид по-достъпната и гъвкава форма на застраховката, като възможност за обезпечаване на задължения по договори, голяма част от изпълнителите се възползваха от тази правна възможност, особено по отношение на договори за строителство с голяма стойност. Механизмът на банковата гаранция и резервирането на голям ресурс, необходим за издаването и обезпечаването й допълнително мотивира изпълнителите да предпочетат застраховката като форма на обезпечение. В тази връзка считаме, че следва да се предвиди преходен период, през който да се даде възможност всички вече сключени договори, по които са предоставени застраховки, да продължат да се изпълняват по досегашния ред. Предвид това предложение е необходимо изрично да бъде посочено, че и за сключени договори след 31.12.2023 г., но при които възлагането на поръчката е започнало преди 01.01.2024 г., предоставянето и освобождаването на гаранции по чл. 111, които обезпечават изпълнението на договора и/или авансово предоставените средства по сключени договори, се урежда по досегашния ред.</w:t>
            </w:r>
          </w:p>
          <w:p w:rsidR="00DC7AD7" w:rsidRDefault="00DC7AD7" w:rsidP="00097BFC">
            <w:pPr>
              <w:spacing w:after="60" w:line="240" w:lineRule="auto"/>
              <w:jc w:val="both"/>
              <w:rPr>
                <w:rFonts w:ascii="Times New Roman" w:eastAsia="Times New Roman" w:hAnsi="Times New Roman" w:cs="Times New Roman"/>
                <w:sz w:val="20"/>
                <w:szCs w:val="20"/>
              </w:rPr>
            </w:pPr>
            <w:r w:rsidRPr="00FF38DD">
              <w:rPr>
                <w:rFonts w:ascii="Times New Roman" w:eastAsia="Times New Roman" w:hAnsi="Times New Roman" w:cs="Times New Roman"/>
                <w:sz w:val="20"/>
                <w:szCs w:val="20"/>
              </w:rPr>
              <w:t>Към настоящия момент, след направен анализ, се установи, че най-голям ръст на инфлацията е в периода на средата на 2021 г. - до средата на 2023 г. От значение е късното приемане на методика, по която да се извърши индексацията на цената. По този начин се създаде правен вакуум, като за продължителен период от време нямаше уредба, по силата на която да се измени цената на договор за обществена поръчка, в резултат на инфлация. С предвидения текст ще се постигне равнопоставеност на правните субекти, действащи при едни и същи пазарни условия.</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F38DD">
              <w:rPr>
                <w:rFonts w:ascii="Times New Roman" w:eastAsia="Times New Roman" w:hAnsi="Times New Roman" w:cs="Times New Roman"/>
                <w:sz w:val="20"/>
                <w:szCs w:val="20"/>
              </w:rPr>
              <w:t>§ 3. Параграф 1 и параграф 2 влизат в сила от 22.12.2023 г.“</w:t>
            </w:r>
          </w:p>
        </w:tc>
        <w:tc>
          <w:tcPr>
            <w:tcW w:w="574" w:type="pct"/>
            <w:shd w:val="clear" w:color="auto" w:fill="auto"/>
          </w:tcPr>
          <w:p w:rsidR="00DC7AD7" w:rsidRPr="00657A5B" w:rsidRDefault="00DA60AF"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 xml:space="preserve">Приема се </w:t>
            </w:r>
          </w:p>
        </w:tc>
        <w:tc>
          <w:tcPr>
            <w:tcW w:w="1617" w:type="pct"/>
            <w:shd w:val="clear" w:color="auto" w:fill="auto"/>
          </w:tcPr>
          <w:p w:rsidR="00DC7AD7" w:rsidRPr="00DA60AF" w:rsidRDefault="00DA60AF" w:rsidP="00DC7AD7">
            <w:pPr>
              <w:spacing w:after="0" w:line="240" w:lineRule="auto"/>
              <w:jc w:val="both"/>
              <w:rPr>
                <w:rFonts w:ascii="Times New Roman" w:eastAsia="Times New Roman" w:hAnsi="Times New Roman" w:cs="Times New Roman"/>
                <w:sz w:val="20"/>
                <w:szCs w:val="20"/>
              </w:rPr>
            </w:pPr>
            <w:r w:rsidRPr="00DA60AF">
              <w:rPr>
                <w:rFonts w:ascii="Times New Roman" w:eastAsia="Times New Roman" w:hAnsi="Times New Roman" w:cs="Times New Roman"/>
                <w:sz w:val="20"/>
                <w:szCs w:val="20"/>
              </w:rPr>
              <w:t>Отразено е в проекта на ЗДБРБ за 2024 г.</w:t>
            </w:r>
          </w:p>
        </w:tc>
      </w:tr>
      <w:tr w:rsidR="00DC7AD7" w:rsidRPr="00F62685" w:rsidTr="00E9260B">
        <w:trPr>
          <w:trHeight w:val="161"/>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b/>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lastRenderedPageBreak/>
              <w:t>МИНИСТЕРСТВО НА ТРАНСПОРТА И СЪОБЩЕНИЯТА</w:t>
            </w: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Министерство на транспорта и съобщенията, на основание чл. 34, ал. 1 от УПМСНА, съгласува проекта на Решение на Министерския съвет за одобряване на законопроект за държавния бюджет на Република България за 2024 г. със следните бележки:</w:t>
            </w:r>
          </w:p>
          <w:p w:rsidR="00DC7AD7" w:rsidRPr="00F62685" w:rsidRDefault="00DC7AD7"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По бюджета на Министерството на транспорта и съобщенията за 2024 г. са необходими допълнителни средства както следва:</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1. Увеличаване на размера на субсидията на „БДЖ-Пътнически превози“ ЕООД за 2024 г. се налага по изключително обективни причини, а именно:</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От 2022 г. не е променян обема на предоставяния финансов ресурс на дружеството във връзка с изпълнението на обществени превозни услуги в областта на железопътния транспорт на територията на Република България, въпреки промяната на основните макроикономически параметри, определящи себестойността на публичната услуга – размера на минималната работна заплата, цените на енергоизточниците, цените на материалите и горивата;</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От 2022 г. към 01.01. 2024 г. размерът на МРЗ  нараства с 223 лв. ( от 710 на 933 лева). Това води до релевантно увеличаване на средствата и за прослужено време, от една страна, а от друга разходите за осигурителни вноски. Следва задължително да се отчете, че нарастването на МРЗ влече стъпаловидно увеличение и на възнагражденията близки до нейната стойност. На база направения анализ за реализирането на идеята за увеличаване на МРЗ на 933 лв. от 01 януари 2024 г. ще са необходими допълнително 48 978 хил. лева. Важно е да се отбележи, че от 01 януари 2024 г. предстои подписването на нов Колективен трудов договор със синдикалните организации. Подписването му зависи от финансовите възможности на дружеството при отчитането на новия размер на МРЗ и неговото отражение върху възнагражденията на всички служители. Не осигуряването на този реално необходим финансов ресурс ще генерира сериозно обществено напрежение и може да породи желание у някои синдикални организации за активни действия и блокиране не само на жп, но и на цялата транспортна система в страната;</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Ръстът на пазарните цени на горивата и енергоизточниците се калкулира в себестойността на услугата с 8 018 хил. лева. Това обективно увеличение не може да се поеме от потребителите на услугата, защото те ще я направят икономически непривлекателна и ще доведе до отлив на пазара;</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lastRenderedPageBreak/>
              <w:t>Отчитайки дългогодишния срок на експлоатация на подвижния състав (повече от 35 – 40 години) много често се налагат текущи ремонти и цялостно техническо обслужване, което допълнително оскъпява услугата. На основата на практическия опит и натрупаната инженерно-техническа статистика, очакваните разходи по това направление за 2024 г. са в размер на 7 729 хил. лева;</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Важно е да се подчертае, че ъпгрейдването на използвания подвижен жп състав и придобиването на нов такъв водят до увеличаване на балансовата компонента на активите на дружеството. Това се отразява сериозно върху размера на заплащаните застраховки с повече от 800 хил. лева;</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Коректността на анализа налага да се отбележи, че с намаляването на инфраструктурните такси се редуцират (намаляват) тези разходи за 2024 г. 4 726 хил. лева. </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На база на горното очакваното (исканото) увеличение на субсидията за „БДЖ-Пътнически превози“ ЕООД за 2024г. е в размер на 62 000 хил. лева. </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Не се приема</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lang w:val="ru-RU"/>
              </w:rPr>
            </w:pP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Pr="00AB36A9" w:rsidRDefault="00DC7AD7" w:rsidP="00DC7AD7">
            <w:pPr>
              <w:spacing w:after="0" w:line="240" w:lineRule="auto"/>
              <w:jc w:val="both"/>
              <w:rPr>
                <w:rFonts w:ascii="Times New Roman" w:eastAsia="Times New Roman" w:hAnsi="Times New Roman" w:cs="Times New Roman"/>
                <w:sz w:val="20"/>
                <w:szCs w:val="20"/>
              </w:rPr>
            </w:pPr>
            <w:r w:rsidRPr="00AB36A9">
              <w:rPr>
                <w:rFonts w:ascii="Times New Roman" w:eastAsia="Times New Roman" w:hAnsi="Times New Roman" w:cs="Times New Roman"/>
                <w:sz w:val="20"/>
                <w:szCs w:val="20"/>
              </w:rPr>
              <w:t xml:space="preserve">Предложеният размер на разходите по бюджета на Министерство на </w:t>
            </w:r>
            <w:r>
              <w:rPr>
                <w:rFonts w:ascii="Times New Roman" w:eastAsia="Times New Roman" w:hAnsi="Times New Roman" w:cs="Times New Roman"/>
                <w:sz w:val="20"/>
                <w:szCs w:val="20"/>
              </w:rPr>
              <w:t>транспорта и съобщенията</w:t>
            </w:r>
            <w:r w:rsidRPr="00AB36A9">
              <w:rPr>
                <w:rFonts w:ascii="Times New Roman" w:eastAsia="Times New Roman" w:hAnsi="Times New Roman" w:cs="Times New Roman"/>
                <w:sz w:val="20"/>
                <w:szCs w:val="20"/>
              </w:rPr>
              <w:t xml:space="preserve"> е съобразен с възможностите на държавния бюджет за 2024 г., базиран на есенната макроикономическа прогноза на Министерството на финансите, на действащото законодателство, прилагане на възприетите политики и допускания от правителството за периода 2024-2026 г., отчетни данни и оценка на възможностите за реализиране на инвестиционните разходи в рамките на бюджетната година, предприетите оптимизиращи приходни и разходни мерки със съответните ефекти и предложения за законодателни промени.</w:t>
            </w:r>
          </w:p>
          <w:p w:rsidR="00DC7AD7" w:rsidRDefault="00DC7AD7" w:rsidP="00DC7AD7">
            <w:pPr>
              <w:spacing w:after="0" w:line="240" w:lineRule="auto"/>
              <w:jc w:val="both"/>
              <w:rPr>
                <w:rFonts w:ascii="Times New Roman" w:eastAsia="Times New Roman" w:hAnsi="Times New Roman" w:cs="Times New Roman"/>
                <w:sz w:val="20"/>
                <w:szCs w:val="20"/>
              </w:rPr>
            </w:pPr>
            <w:r w:rsidRPr="00AB36A9">
              <w:rPr>
                <w:rFonts w:ascii="Times New Roman" w:eastAsia="Times New Roman" w:hAnsi="Times New Roman" w:cs="Times New Roman"/>
                <w:sz w:val="20"/>
                <w:szCs w:val="20"/>
              </w:rPr>
              <w:t>В тази връзка и предвид ограниченото фискално пространство, на този етап предложения за увеличения в разходната част не биха могли да бъдат удовлетворени.</w:t>
            </w: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Pr="0044086A"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A5CEF">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62685" w:rsidRDefault="00DC7AD7" w:rsidP="00014BD9">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2. Държавният авиационен оператор експлоатира активно за изпълнение на поставените му задачи самолет Еър </w:t>
            </w:r>
            <w:proofErr w:type="spellStart"/>
            <w:r w:rsidRPr="00F62685">
              <w:rPr>
                <w:rFonts w:ascii="Times New Roman" w:eastAsia="Times New Roman" w:hAnsi="Times New Roman" w:cs="Times New Roman"/>
                <w:sz w:val="20"/>
                <w:szCs w:val="20"/>
              </w:rPr>
              <w:t>бъс</w:t>
            </w:r>
            <w:proofErr w:type="spellEnd"/>
            <w:r w:rsidRPr="00F62685">
              <w:rPr>
                <w:rFonts w:ascii="Times New Roman" w:eastAsia="Times New Roman" w:hAnsi="Times New Roman" w:cs="Times New Roman"/>
                <w:sz w:val="20"/>
                <w:szCs w:val="20"/>
              </w:rPr>
              <w:t xml:space="preserve"> А-319-112. Последният е произведен през 2007 г. Съгласно регламентиращите документи на производителя и директивите за летателната годност на EASA въздухоплавателното средство следва да премине задължителна инспекция през 2024 г. в завода-производител. Това гарантира неговата по-нататъшна безопасна експлоатация. </w:t>
            </w:r>
            <w:proofErr w:type="spellStart"/>
            <w:r w:rsidRPr="00F62685">
              <w:rPr>
                <w:rFonts w:ascii="Times New Roman" w:eastAsia="Times New Roman" w:hAnsi="Times New Roman" w:cs="Times New Roman"/>
                <w:sz w:val="20"/>
                <w:szCs w:val="20"/>
              </w:rPr>
              <w:t>Чекването</w:t>
            </w:r>
            <w:proofErr w:type="spellEnd"/>
            <w:r w:rsidRPr="00F62685">
              <w:rPr>
                <w:rFonts w:ascii="Times New Roman" w:eastAsia="Times New Roman" w:hAnsi="Times New Roman" w:cs="Times New Roman"/>
                <w:sz w:val="20"/>
                <w:szCs w:val="20"/>
              </w:rPr>
              <w:t xml:space="preserve"> на отделните структурно-функционални компоненти на самолета се извършва задължително на всеки 6 години непрекъсната работа. На базата анализа от предишната инспекция очакваните разходи за това са в размер на 2 485,5 хил. лева. Важно е да се подчертае, че поддържането на летателната годност и експлоатационна безопасност на Еър </w:t>
            </w:r>
            <w:proofErr w:type="spellStart"/>
            <w:r w:rsidRPr="00F62685">
              <w:rPr>
                <w:rFonts w:ascii="Times New Roman" w:eastAsia="Times New Roman" w:hAnsi="Times New Roman" w:cs="Times New Roman"/>
                <w:sz w:val="20"/>
                <w:szCs w:val="20"/>
              </w:rPr>
              <w:t>бъс</w:t>
            </w:r>
            <w:proofErr w:type="spellEnd"/>
            <w:r w:rsidRPr="00F62685">
              <w:rPr>
                <w:rFonts w:ascii="Times New Roman" w:eastAsia="Times New Roman" w:hAnsi="Times New Roman" w:cs="Times New Roman"/>
                <w:sz w:val="20"/>
                <w:szCs w:val="20"/>
              </w:rPr>
              <w:t xml:space="preserve"> А-319-112 е от изключително значение не само за политическото ръководство на страната, но и за цялото общество. Доказателство за това са последните събития в Държавата Израел, когато спешно се наложи използването на този самолет за евакуация на българските граждани. Това беше един специфичен пример за прилагане на способностите на ДАО за решаване на публични задачи с изключителна важност и издигане на имиджа на Правителството за адекватен отклик на обществените потребности. Ето защо поддържането на въздухоплавателните средства (в случая Еър </w:t>
            </w:r>
            <w:proofErr w:type="spellStart"/>
            <w:r w:rsidRPr="00F62685">
              <w:rPr>
                <w:rFonts w:ascii="Times New Roman" w:eastAsia="Times New Roman" w:hAnsi="Times New Roman" w:cs="Times New Roman"/>
                <w:sz w:val="20"/>
                <w:szCs w:val="20"/>
              </w:rPr>
              <w:t>бъс</w:t>
            </w:r>
            <w:proofErr w:type="spellEnd"/>
            <w:r w:rsidRPr="00F62685">
              <w:rPr>
                <w:rFonts w:ascii="Times New Roman" w:eastAsia="Times New Roman" w:hAnsi="Times New Roman" w:cs="Times New Roman"/>
                <w:sz w:val="20"/>
                <w:szCs w:val="20"/>
              </w:rPr>
              <w:t xml:space="preserve"> А-319-112) в постоянна експлоатационна готовност е първостепенна задача на ръководството на ДАО, респ. МТС, но това може да се случи при </w:t>
            </w:r>
            <w:r w:rsidRPr="00F62685">
              <w:rPr>
                <w:rFonts w:ascii="Times New Roman" w:eastAsia="Times New Roman" w:hAnsi="Times New Roman" w:cs="Times New Roman"/>
                <w:sz w:val="20"/>
                <w:szCs w:val="20"/>
              </w:rPr>
              <w:lastRenderedPageBreak/>
              <w:t>осигуряването на необходимия допълнителен финансов ресурс</w:t>
            </w:r>
            <w:r>
              <w:rPr>
                <w:rFonts w:ascii="Times New Roman" w:eastAsia="Times New Roman" w:hAnsi="Times New Roman" w:cs="Times New Roman"/>
                <w:sz w:val="20"/>
                <w:szCs w:val="20"/>
              </w:rPr>
              <w:t xml:space="preserve"> в размер на 2 485,5 хил. лева.</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Не се приема</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643335" w:rsidRDefault="00DC7AD7" w:rsidP="00DC7AD7">
            <w:pPr>
              <w:jc w:val="both"/>
              <w:rPr>
                <w:rFonts w:ascii="Times New Roman" w:eastAsia="Times New Roman" w:hAnsi="Times New Roman" w:cs="Times New Roman"/>
                <w:sz w:val="20"/>
                <w:szCs w:val="20"/>
              </w:rPr>
            </w:pPr>
            <w:r w:rsidRPr="00643335">
              <w:rPr>
                <w:rFonts w:ascii="Times New Roman" w:eastAsia="Times New Roman" w:hAnsi="Times New Roman" w:cs="Times New Roman"/>
                <w:sz w:val="20"/>
                <w:szCs w:val="20"/>
              </w:rPr>
              <w:t>Предложеният размер на разходите по бюджета на Министерството на транспорта и съобщенията е съобразен с възможностите на държавния бюджет за 2024 г., базиран на есенната макроикономическа прогноза на Министерството на финансите, на действащото законодателство, прилагане на възприетите политики и допускания от правителството за периода 2024-2026 г., отчетни данни и оценка на възможностите за реализиране на инвестиционните разходи в рамките на бюджетната година, предприетите оптимизиращи приходни и разходни мерки със съответните ефекти и предложения за законодателни промени.</w:t>
            </w:r>
          </w:p>
          <w:p w:rsidR="00DC7AD7" w:rsidRDefault="00DC7AD7" w:rsidP="00DC7AD7">
            <w:pPr>
              <w:spacing w:after="0" w:line="240" w:lineRule="auto"/>
              <w:jc w:val="both"/>
              <w:rPr>
                <w:rFonts w:ascii="Times New Roman" w:eastAsia="Times New Roman" w:hAnsi="Times New Roman" w:cs="Times New Roman"/>
                <w:sz w:val="20"/>
                <w:szCs w:val="20"/>
              </w:rPr>
            </w:pPr>
            <w:r w:rsidRPr="00643335">
              <w:rPr>
                <w:rFonts w:ascii="Times New Roman" w:eastAsia="Times New Roman" w:hAnsi="Times New Roman" w:cs="Times New Roman"/>
                <w:sz w:val="20"/>
                <w:szCs w:val="20"/>
              </w:rPr>
              <w:t>В тази връзка и предвид ограниченото фискално пространство, на този етап предложения за увеличения в разходната част не биха могли да бъдат удовлетворени.</w:t>
            </w:r>
          </w:p>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A5CEF">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3. По отношение на ДП „НКЖИ“ реалната потребност от субсидия за 2024 г. е в размер на 364 637 хил. лева, т.е. с 79 707 хил. лева недостиг спрямо определените параметри. Аргументите за това могат да бъдат систематизирани в две плоскости:</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Отчитайки, че субсидията покрива основно разходите на Управителя на железопътната инфраструктура, които не могат да бъдат възстановени, чрез реализираните приходи от дейността, главно за трудови и социално осигурителни плащания на персонала следва да се отчете увеличението на МРЗ от 01 януари 2024 г. Ръстът на МРЗ от 780 лв. на 933 лв., като в съответствие с договорения механизъм в КТД 2022 г. води до увеличаване на основните заплати на служителите в ДП НКЖИ с 19,62% от 01.01.2024 г. На базата на приложените разчети  това означава реална потребност от субсидия за 2024 г. в размер на  341 080 хил. лева. Това означава, че нетният недостиг на субсидия, по отношение на изплащане на възнагражденията в дружеството е в размер на 58 025 хил. лева;</w:t>
            </w:r>
          </w:p>
          <w:p w:rsidR="00DC7AD7" w:rsidRPr="00F62685" w:rsidRDefault="00DC7AD7" w:rsidP="00014BD9">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Втората плоскост се отнася до текущите разходи за изпълнение на Регламент (ЕС) № 1303/2013 на Европейския парламент и на съвета от 17 декември 2013 г. Република България е задължена да влага средства за текущо поддържане и безопасна експлоатация на активи, придобити с безвъзмездно финансиране от държавния бюджет, Европейски структурни и инвестиционни фондове. Новите технологии, системи и съоръжения изградени по тези проекти изискват завишение на ресурсите за текуща поддръжка включително за по-високо квалифициран персонал, инвестиции в закупуване на лека и тежка механизация за тяхната експлоатация и поддръжка, както и завишени разходи за поддръжката на софтуер (лицензи, обновяване и др.). Очакваният недостиг от субсидия в това направление е в размер на 23 557 хил. лева. Най-общо това означава, че имаме изградена нова и модерна жп инфраструктура и за да осигурим нейната адекватна поддръжка за осигуряване на безопасен жп транспорт са допълнително потребни тези средства. Това гарантира устойчивост на направените досега национални и европейски инвестиции.</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Не се приема</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210EAD" w:rsidRDefault="00DC7AD7" w:rsidP="00DC7AD7">
            <w:pPr>
              <w:jc w:val="both"/>
              <w:rPr>
                <w:rFonts w:ascii="Times New Roman" w:eastAsia="Times New Roman" w:hAnsi="Times New Roman" w:cs="Times New Roman"/>
                <w:sz w:val="20"/>
                <w:szCs w:val="20"/>
              </w:rPr>
            </w:pPr>
            <w:r w:rsidRPr="00210EAD">
              <w:rPr>
                <w:rFonts w:ascii="Times New Roman" w:eastAsia="Times New Roman" w:hAnsi="Times New Roman" w:cs="Times New Roman"/>
                <w:sz w:val="20"/>
                <w:szCs w:val="20"/>
              </w:rPr>
              <w:t>Предложеният размер на разходите по бюджета на Министерството на транспорта и съобщенията е съобразен с възможностите на държавния бюджет за 2024 г., базиран на есенната макроикономическа прогноза на Министерството на финансите, на действащото законодателство, прилагане на възприетите политики и допускания от правителството за периода 2024-2026 г., отчетни данни и оценка на възможностите за реализиране на инвестиционните разходи в рамките на бюджетната година, предприетите оптимизиращи приходни и разходни мерки със съответните ефекти и предложения за законодателни промени.</w:t>
            </w:r>
          </w:p>
          <w:p w:rsidR="00DC7AD7" w:rsidRDefault="00DC7AD7" w:rsidP="00DC7AD7">
            <w:pPr>
              <w:spacing w:after="0" w:line="240" w:lineRule="auto"/>
              <w:jc w:val="both"/>
              <w:rPr>
                <w:rFonts w:ascii="Times New Roman" w:eastAsia="Times New Roman" w:hAnsi="Times New Roman" w:cs="Times New Roman"/>
                <w:sz w:val="20"/>
                <w:szCs w:val="20"/>
              </w:rPr>
            </w:pPr>
            <w:r w:rsidRPr="00210EAD">
              <w:rPr>
                <w:rFonts w:ascii="Times New Roman" w:eastAsia="Times New Roman" w:hAnsi="Times New Roman" w:cs="Times New Roman"/>
                <w:sz w:val="20"/>
                <w:szCs w:val="20"/>
              </w:rPr>
              <w:t>В тази връзка и предвид ограниченото фискално пространство, на този етап предложения за увеличения в разходната част не биха могли да бъдат удовлетворени.</w:t>
            </w:r>
          </w:p>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A5CEF">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4. След обществено обсъждане е предложената промяна в ПМС № 66 от 14.04.1991 г., с което се актуализира Наредбата за условията и реда за предоставяне на средства за компенсиране на намалените приходи от прилагането на цени за обществени </w:t>
            </w:r>
            <w:r w:rsidRPr="00F62685">
              <w:rPr>
                <w:rFonts w:ascii="Times New Roman" w:eastAsia="Times New Roman" w:hAnsi="Times New Roman" w:cs="Times New Roman"/>
                <w:sz w:val="20"/>
                <w:szCs w:val="20"/>
              </w:rPr>
              <w:lastRenderedPageBreak/>
              <w:t xml:space="preserve">пътнически превози по автомобилния транспорт, предвидени в нормативните актове за определени категории пътници, за субсидиране на обществени пътнически превози по нерентабилни автобусни линии във вътрешноградския транспорт и транспорта в планински и други райони и за издаване на превозни документи за извършване на превозите. </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От една страна се въвежда компенсиране на абонаментни карти за лица с увреждания с намалена работоспособност над 70,99 на сто в размер на 25%., тъй като  към настоящия момент много от превозвачите извършват намаление, а някои дори издават безплатни карти, без това да се компенсира от държавния бюджет. По данни от Министерство на здравеопазването, към 2022 г. има над 760 000 хора с увреждания с намалена работоспособност над 70,99 на сто. По данни от системата за превозни документи на Столична община, ежемесечно се възползват над 17 000 лица с увреждания с намалена работоспособност над 70,99 на сто от карти с намалена цена.</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От друга страна се предлага да се осигури 100% компенсиране за абонаментните карти за деца от 8 до 14 годишна възраст във вътрешноградските превози. Това е в синхрон с европейската политика за приоритизиране на обществения транспорт като предпочитана форма на транспорт, тъй като от най-ранна детска възраст, тези пътници ще могат да използват обществения транспорт, да виждат неговите предимства и да изграждат в себе си култура за неговото използване.</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Увеличаването на размерите на компенсациите и въвеждането на нова група правоимащи цели да стимулира общините и транспортните оператори да продават повече дългосрочни превозни документи (абонаментни карти), с което да се увеличи използването на обществен транспорт. Една четвърт от емисиите на парникови газове в ЕС се дължат на транспортния сектор, като този дял продължава да расте. В Европейската зелена сделка е заложено намаляване на емисиите в транспортния сектор с 90 на сто до 2050 г. с оглед постигане неутралност по отношение на климата, за което трябва да допринесат всички видове транспорт. В приетата от Европейската комисия през м. декември 2020 г. Стратегия за устойчива и интелигентна мобилност са очертани планираните стъпки за трансформиране на транспортната система на ЕС в съответствие с амбициите, заложени в Зелената сделка. Осигуряването на 100 на сто размер на компенсиране на децата до 14 навършени години във вътрешноградските превози цели да се намали увеличения трафик, породен от превоза на </w:t>
            </w:r>
            <w:r w:rsidRPr="00F62685">
              <w:rPr>
                <w:rFonts w:ascii="Times New Roman" w:eastAsia="Times New Roman" w:hAnsi="Times New Roman" w:cs="Times New Roman"/>
                <w:sz w:val="20"/>
                <w:szCs w:val="20"/>
              </w:rPr>
              <w:lastRenderedPageBreak/>
              <w:t>ученици до училище и деца до детска градина/ясла с лични автомобили.</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Стимулирането на използването на абонаментни карти за обществен транспорт е част от цялостната реформа за осигуряване на ефективен достъп до интегриран обществен транспорт, която предстои да се реализира, като част на Националния план за възстановяване и устойчивост на Република България (НПВУ) (Реформа 4, компонент „Транспортна свързаност“). Актуализирането на размерите на компенсиране ще спомогне постигането на тази цел. </w:t>
            </w:r>
          </w:p>
          <w:p w:rsidR="00DC7AD7" w:rsidRPr="00F62685" w:rsidRDefault="00DC7AD7" w:rsidP="00014BD9">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Отчитайки горното и на база направените подробни анализи и разчети е необходимо да бъде увеличен размерът на компенсациите за пътувания с вътрешноградския транспорт и междуселищния автомобилен транспорт от 121 400 хил. лева на 141,4 хил. лева., т.е. допълнително на общините да бъде предоставена компенсация за тази цел от 20 000 хил. лева.</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Приема се</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r w:rsidRPr="00A86C4E">
              <w:rPr>
                <w:rFonts w:ascii="Times New Roman" w:eastAsia="Times New Roman" w:hAnsi="Times New Roman" w:cs="Times New Roman"/>
                <w:sz w:val="20"/>
                <w:szCs w:val="20"/>
              </w:rPr>
              <w:t>Отразено в проекта на ЗДБРБ за 2024 г.</w:t>
            </w:r>
          </w:p>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A5CEF">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5. След направен външен одит на разходите на „Български пощи“ ЕАД за 2022 г. за извършването на УОИИ за УПУ е установено, че нетният размер на същите е 41 249 хил. лева. С Решение №290/12.10.2023 г. на КРС е потвърдена сумата на дължимата компенсация. Отчитайки факта, че за 2022 г. „Български пощи“ ЕАД са получили 28 700 хил. лева компенсация. Последното предполага, че след нотификация от страна на ЕК се дължи </w:t>
            </w:r>
            <w:proofErr w:type="spellStart"/>
            <w:r w:rsidRPr="00F62685">
              <w:rPr>
                <w:rFonts w:ascii="Times New Roman" w:eastAsia="Times New Roman" w:hAnsi="Times New Roman" w:cs="Times New Roman"/>
                <w:sz w:val="20"/>
                <w:szCs w:val="20"/>
              </w:rPr>
              <w:t>докомпенсиране</w:t>
            </w:r>
            <w:proofErr w:type="spellEnd"/>
            <w:r w:rsidRPr="00F62685">
              <w:rPr>
                <w:rFonts w:ascii="Times New Roman" w:eastAsia="Times New Roman" w:hAnsi="Times New Roman" w:cs="Times New Roman"/>
                <w:sz w:val="20"/>
                <w:szCs w:val="20"/>
              </w:rPr>
              <w:t xml:space="preserve"> през 2024 г. в размер на 12 549 хил. лева. </w:t>
            </w:r>
          </w:p>
          <w:p w:rsidR="00DC7AD7" w:rsidRPr="00F62685" w:rsidRDefault="00DC7AD7" w:rsidP="00014BD9">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Аналогично на горното се очаква необходимост от </w:t>
            </w:r>
            <w:proofErr w:type="spellStart"/>
            <w:r w:rsidRPr="00F62685">
              <w:rPr>
                <w:rFonts w:ascii="Times New Roman" w:eastAsia="Times New Roman" w:hAnsi="Times New Roman" w:cs="Times New Roman"/>
                <w:sz w:val="20"/>
                <w:szCs w:val="20"/>
              </w:rPr>
              <w:t>докомпенсиране</w:t>
            </w:r>
            <w:proofErr w:type="spellEnd"/>
            <w:r w:rsidRPr="00F62685">
              <w:rPr>
                <w:rFonts w:ascii="Times New Roman" w:eastAsia="Times New Roman" w:hAnsi="Times New Roman" w:cs="Times New Roman"/>
                <w:sz w:val="20"/>
                <w:szCs w:val="20"/>
              </w:rPr>
              <w:t xml:space="preserve"> на УОИИ по РППИ за 2022 г. в размер на 6 700 хил. лева. Посл</w:t>
            </w:r>
            <w:r w:rsidR="00014BD9">
              <w:rPr>
                <w:rFonts w:ascii="Times New Roman" w:eastAsia="Times New Roman" w:hAnsi="Times New Roman" w:cs="Times New Roman"/>
                <w:sz w:val="20"/>
                <w:szCs w:val="20"/>
              </w:rPr>
              <w:t xml:space="preserve">едната сума ще бъде дължима на </w:t>
            </w:r>
            <w:r w:rsidRPr="00F62685">
              <w:rPr>
                <w:rFonts w:ascii="Times New Roman" w:eastAsia="Times New Roman" w:hAnsi="Times New Roman" w:cs="Times New Roman"/>
                <w:sz w:val="20"/>
                <w:szCs w:val="20"/>
              </w:rPr>
              <w:t xml:space="preserve">„Български пощи“ ЕАД че след нотификация от страна на ЕК. </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Не се приема</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r w:rsidRPr="00BF4286">
              <w:rPr>
                <w:rFonts w:ascii="Times New Roman" w:eastAsia="Times New Roman" w:hAnsi="Times New Roman" w:cs="Times New Roman"/>
                <w:sz w:val="20"/>
                <w:szCs w:val="20"/>
              </w:rPr>
              <w:t xml:space="preserve">Средствата за </w:t>
            </w:r>
            <w:proofErr w:type="spellStart"/>
            <w:r w:rsidRPr="00BF4286">
              <w:rPr>
                <w:rFonts w:ascii="Times New Roman" w:eastAsia="Times New Roman" w:hAnsi="Times New Roman" w:cs="Times New Roman"/>
                <w:sz w:val="20"/>
                <w:szCs w:val="20"/>
              </w:rPr>
              <w:t>докомпенсиране</w:t>
            </w:r>
            <w:proofErr w:type="spellEnd"/>
            <w:r w:rsidRPr="00BF4286">
              <w:rPr>
                <w:rFonts w:ascii="Times New Roman" w:eastAsia="Times New Roman" w:hAnsi="Times New Roman" w:cs="Times New Roman"/>
                <w:sz w:val="20"/>
                <w:szCs w:val="20"/>
              </w:rPr>
              <w:t xml:space="preserve"> ще бъдат разчетени </w:t>
            </w:r>
            <w:r>
              <w:rPr>
                <w:rFonts w:ascii="Times New Roman" w:eastAsia="Times New Roman" w:hAnsi="Times New Roman" w:cs="Times New Roman"/>
                <w:sz w:val="20"/>
                <w:szCs w:val="20"/>
              </w:rPr>
              <w:t>след</w:t>
            </w:r>
            <w:r w:rsidRPr="00BF4286">
              <w:rPr>
                <w:rFonts w:ascii="Times New Roman" w:eastAsia="Times New Roman" w:hAnsi="Times New Roman" w:cs="Times New Roman"/>
                <w:sz w:val="20"/>
                <w:szCs w:val="20"/>
              </w:rPr>
              <w:t xml:space="preserve"> Решение на ЕК</w:t>
            </w:r>
          </w:p>
        </w:tc>
      </w:tr>
      <w:tr w:rsidR="00DC7AD7" w:rsidRPr="00F62685" w:rsidTr="00EA5CEF">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6. В проекта на Актуализирана средносрочна бюджетна прогноза за периода 2024 – 2026 г., Част III „Приоритети на политиките и основни допускания за периода 2024 – 2026 г.“, т. 2.15 „Политики в областта на транспорта и съобщенията“, по отношение на „Български пощи“ ЕАД е записано, че „Размерът на авансово предоставените средства е равен на определения размер на компенсацията през предходната година“. </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Предлагам този текст да придобие следния вид: „Размерът на авансово предоставените средства е равен на определения размер на компенсацията за съответната година“.</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Приема се</w:t>
            </w: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Отразено е в Актуализираната средносрочна бюджетна прогноза за периода 2024-2026 г.</w:t>
            </w:r>
          </w:p>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lastRenderedPageBreak/>
              <w:t>МИНИСТЕРСТВО НА ЗЕМЕДЕЛИЕТО И ХРАНИТЕ</w:t>
            </w: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Министерството на земеделието и храните съгласува представения проект на Решение на Министерския съвет за одобряване на законопроект за държавния бюджет на Република България за 2024 г. със следните бележки и предложения:</w:t>
            </w:r>
          </w:p>
          <w:p w:rsidR="00DC7AD7" w:rsidRPr="00F62685" w:rsidRDefault="00DC7AD7"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I.</w:t>
            </w:r>
            <w:r w:rsidRPr="00F62685">
              <w:rPr>
                <w:rFonts w:ascii="Times New Roman" w:eastAsia="Times New Roman" w:hAnsi="Times New Roman" w:cs="Times New Roman"/>
                <w:b/>
                <w:sz w:val="20"/>
                <w:szCs w:val="20"/>
              </w:rPr>
              <w:tab/>
              <w:t>По отношение на Актуализираната средносрочна бюджетна прогноза за периода 2024 – 2026 г. (Мотиви към законопроекта за държавния бюджет на Република България за 2024 г.)</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1.</w:t>
            </w:r>
            <w:r w:rsidRPr="00F62685">
              <w:rPr>
                <w:rFonts w:ascii="Times New Roman" w:eastAsia="Times New Roman" w:hAnsi="Times New Roman" w:cs="Times New Roman"/>
                <w:sz w:val="20"/>
                <w:szCs w:val="20"/>
              </w:rPr>
              <w:tab/>
              <w:t>На стр. 196 в „Обща селскостопанска политика за периода 2024 – 2026 г.“, в седми абзац „Съгласно законодателството на ЕС национално съфинансиране се прилага по следните пазарни мерки:“ текстът „Национална програма по пчеларство“ да бъде заменен с „Интервенции в сектора на пчеларството“.</w:t>
            </w:r>
          </w:p>
          <w:p w:rsidR="00DC7AD7"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Мотиви: Националните три годишни програми по пчеларство приключиха своето действие до 2022 г. От 2023 г. се прилагат интервенции в сектора на пчеларството, съгласно чл. 55 от Регламент 2115/2021 г.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087DD2">
              <w:rPr>
                <w:rFonts w:ascii="Times New Roman" w:eastAsia="Times New Roman" w:hAnsi="Times New Roman" w:cs="Times New Roman"/>
                <w:sz w:val="20"/>
                <w:szCs w:val="20"/>
              </w:rPr>
              <w:t>2.</w:t>
            </w:r>
            <w:r w:rsidRPr="00087DD2">
              <w:rPr>
                <w:rFonts w:ascii="Times New Roman" w:eastAsia="Times New Roman" w:hAnsi="Times New Roman" w:cs="Times New Roman"/>
                <w:sz w:val="20"/>
                <w:szCs w:val="20"/>
              </w:rPr>
              <w:tab/>
              <w:t>В Актуализирана средносрочна бюджетна прогноза за периода 2024-2026 г., т. 2.18. ПОЛИТИКА В ОБЛАСТТА НА СЕЛСКОТО СТОПАНСТВО, не е отразено че засяга новия програмен период, през който подпомагане на земеделските стопани се предоставя и чрез инструментите, предвидени в Стратегическия план за развитие на земеделието и селските райони за периода 2023-2027 г.</w:t>
            </w:r>
          </w:p>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II.</w:t>
            </w:r>
            <w:r w:rsidRPr="00F62685">
              <w:rPr>
                <w:rFonts w:ascii="Times New Roman" w:eastAsia="Times New Roman" w:hAnsi="Times New Roman" w:cs="Times New Roman"/>
                <w:b/>
                <w:sz w:val="20"/>
                <w:szCs w:val="20"/>
              </w:rPr>
              <w:tab/>
              <w:t xml:space="preserve"> По законопроекта за държавния бюджет на Република България за 2024 г.</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По отношение на държавни помощи, преходна национална помощ за тютюн, преходна национална помощ за животни, схеми за извънредна помощ на земеделски стопани по селскостопански пазарни механизми, средства за ДДС пазарни </w:t>
            </w:r>
            <w:r w:rsidRPr="00F62685">
              <w:rPr>
                <w:rFonts w:ascii="Times New Roman" w:eastAsia="Times New Roman" w:hAnsi="Times New Roman" w:cs="Times New Roman"/>
                <w:sz w:val="20"/>
                <w:szCs w:val="20"/>
              </w:rPr>
              <w:lastRenderedPageBreak/>
              <w:t>мерки и национални доплащания за предходни кампании включени в проекта на ЗДБРБ за 2024 г.</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В законопроекта за държавния бюджет на Република България за 2024 г., в чл. 47 по бюджета на Държавен фонд „Земеделие“ са предвидени 450 350 000 лв. за държавни помощи, преходна национална помощ за тютюн, преходна национална помощ за животни, схеми за извънредна помощ на земеделски стопани по селскостопански пазарни механизми, средства за ДДС пазарни мерки и национални доплащания за предходни кампании.</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Необходимо е в законопроекта да се предвидят допълнителни средства общо в размер на 442 000 000 лв. за подкрепа на земеделските стопани, с цел намаляване на неблагоприятния ефект от икономическата криза и повишената инфлация. Очаква се подпомагането да доведе до подобряване на ликвидността на стопанствата, запазване на дейността им и осигуряване на пазарна устойчивост и конкурентоспособност.</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Мотиви:</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През 2023 г. предвид конфликта в Украйна, за осигуряване на ликвидност на земеделските стопани бяха предвидени извънредни 426 млн. лв. Средствата се предоставиха за покриване на част от нарасналите разходи за производство чрез държавна помощ „Помощ в подкрепа на ликвидността на земеделски стопани за преодоляване на негативното икономическо въздействие на руската агресия срещу Украйна“, която е </w:t>
            </w:r>
            <w:proofErr w:type="spellStart"/>
            <w:r w:rsidRPr="00F62685">
              <w:rPr>
                <w:rFonts w:ascii="Times New Roman" w:eastAsia="Times New Roman" w:hAnsi="Times New Roman" w:cs="Times New Roman"/>
                <w:sz w:val="20"/>
                <w:szCs w:val="20"/>
              </w:rPr>
              <w:t>нотифицирана</w:t>
            </w:r>
            <w:proofErr w:type="spellEnd"/>
            <w:r w:rsidRPr="00F62685">
              <w:rPr>
                <w:rFonts w:ascii="Times New Roman" w:eastAsia="Times New Roman" w:hAnsi="Times New Roman" w:cs="Times New Roman"/>
                <w:sz w:val="20"/>
                <w:szCs w:val="20"/>
              </w:rPr>
              <w:t xml:space="preserve"> пред Европейската комисия при спазване условията на Временна рамка за мерки за държавна помощ при кризи и преход в подкрепа на икономиката след агресията на Русия срещу Украйна (Временна рамка).</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Временната рамка е със срок на прилагане до края на 2023 г. Европейската комисия е изготвила проект на Временната рамка, който предвижда удължаване на срока на прилагането й – до края на месец март 2024 г. и увеличаване на тавана за подпомагане на едно предприятие.</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Предвид гореизложеното се предвижда прилагането на държавна помощ със същия прогнозен ресурс и през 2024 г., с цел преодоляване на последиците от войната, които ще зависят от развитието на конфликта, от ефекта на наложените санкции и от евентуални по-нататъшни мерки.</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Предвижда се и удължаване на мярката за държавна помощ за компенсиране на разходите за вода за напояване, с аналогичен бюджет на 2023 г., в размер на 16 000 000 лв.</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lastRenderedPageBreak/>
              <w:t>Освен това в проекта на Мотиви към законопроекта за държавния бюджет на Република България за 2024 г., в раздел Данъчна политика е предвидено въвеждането на нова схема за държавна помощ за земеделски стопани, които са свързани с изменение на правната уредба за прилагане на държавна помощ за земеделски стопани под формата на данъчно облекчение по чл. 189б от ЗКПО и чл. 48, ал. 6 от ЗДДФЛ, съобразно условията на Регламент (ЕС) № 2022/2472 на Комисията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ДФЕС (Регламент (ЕС) № 2022/2472).</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Обръщаме внимание, че по същество мярката не е нова, тъй като тя представлява изменена версия на вече съществуваща фискална схема под формата на данъчно предимство и в този смисъл се явява продължаваща (последваща фискална схема).</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III.</w:t>
            </w:r>
            <w:r w:rsidRPr="00F62685">
              <w:rPr>
                <w:rFonts w:ascii="Times New Roman" w:eastAsia="Times New Roman" w:hAnsi="Times New Roman" w:cs="Times New Roman"/>
                <w:sz w:val="20"/>
                <w:szCs w:val="20"/>
              </w:rPr>
              <w:tab/>
              <w:t>По отношение на приходната стана на бюджет на Министерството на земеделието и храните за 2025 година:</w:t>
            </w:r>
          </w:p>
          <w:p w:rsidR="00DC7AD7" w:rsidRPr="00F62685" w:rsidRDefault="00DC7AD7"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По отношение на посочения допълнителен приход от продажба на земи през 2025 г., обръщам внимание на следното:</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Прогнозната стойност на касовите приходи от продажбата на земи от държавния поземлен фонд чрез поименни компенсационни бонове (ПКБ), посочени в предложената рамка за бюджет  на МЗХ за 2025 г. е в размер на 340 млн. лв. </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За тази стойност, при допускане на продажба чрез търг на земи от държавния поземлен фонд (ДПФ) за притежатели на поименни компенсационни бонове, на компенсаторни записи и на жилищни компенсаторни записи, ще са необходими по предварителни разчети приблизително 700 000 дка., което представлява 1/5 от наличния държавен поземлен фонд.</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Съгласно чл. 35, ал. 5 от Закона за собствеността и ползването на земеделските земи (ЗСПЗЗ), шестдесет на сто от предложената цена в търговете за земеделски земи от държавния поземлен фонд се заплащат с ПКБ от спечелилия участник. Останалите четиридесет процента е с парични средства от цената на имота по пазарна оценка.</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Следва да се има предвид, че ресурсът на земите от държавния поземлен фонд е ограничен и се използва: </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 за обезщетяване на собствениците, чиито имоти не могат да бъдат възстановени, поради проведени мероприятия, както и за </w:t>
            </w:r>
            <w:r w:rsidRPr="00F62685">
              <w:rPr>
                <w:rFonts w:ascii="Times New Roman" w:eastAsia="Times New Roman" w:hAnsi="Times New Roman" w:cs="Times New Roman"/>
                <w:sz w:val="20"/>
                <w:szCs w:val="20"/>
              </w:rPr>
              <w:lastRenderedPageBreak/>
              <w:t xml:space="preserve">обезщетяване български граждани, чиито земеделски земи са послужили за погасяване на държавен дълг съгласно Спогодбата за уреждане на висящите финансови въпроси и развитие на икономическото сътрудничество между Народна Република България и Кралство Гърция (ДВ, бр. 87 от 1964 г.); </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за дългосрочно отдаване под наем и аренда, като ежегодно приходите са в размер на приблизително 90 млн. лв.</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IV.</w:t>
            </w:r>
            <w:r w:rsidRPr="00F62685">
              <w:rPr>
                <w:rFonts w:ascii="Times New Roman" w:eastAsia="Times New Roman" w:hAnsi="Times New Roman" w:cs="Times New Roman"/>
                <w:sz w:val="20"/>
                <w:szCs w:val="20"/>
              </w:rPr>
              <w:tab/>
              <w:t>По отношение на предвидения за Министерството на земеделието и храните разходен таван за 2024 и следващите бюджетни години обръщаме внимание, че част от нормативно изпълняваните дейности, както и ангажименти, остават финансово необезпечени, а именно:</w:t>
            </w:r>
          </w:p>
          <w:p w:rsidR="00DC7AD7" w:rsidRDefault="00DC7AD7" w:rsidP="00097BFC">
            <w:pPr>
              <w:spacing w:after="60" w:line="240" w:lineRule="auto"/>
              <w:jc w:val="both"/>
              <w:rPr>
                <w:rFonts w:ascii="Times New Roman" w:eastAsia="Times New Roman" w:hAnsi="Times New Roman" w:cs="Times New Roman"/>
                <w:sz w:val="20"/>
                <w:szCs w:val="20"/>
              </w:rPr>
            </w:pPr>
          </w:p>
          <w:p w:rsidR="00014BD9" w:rsidRDefault="00014BD9" w:rsidP="00097BFC">
            <w:pPr>
              <w:spacing w:after="60" w:line="240" w:lineRule="auto"/>
              <w:jc w:val="both"/>
              <w:rPr>
                <w:rFonts w:ascii="Times New Roman" w:eastAsia="Times New Roman" w:hAnsi="Times New Roman" w:cs="Times New Roman"/>
                <w:sz w:val="20"/>
                <w:szCs w:val="20"/>
              </w:rPr>
            </w:pPr>
          </w:p>
          <w:p w:rsidR="00014BD9" w:rsidRDefault="00014BD9" w:rsidP="00097BFC">
            <w:pPr>
              <w:spacing w:after="60" w:line="240" w:lineRule="auto"/>
              <w:jc w:val="both"/>
              <w:rPr>
                <w:rFonts w:ascii="Times New Roman" w:eastAsia="Times New Roman" w:hAnsi="Times New Roman" w:cs="Times New Roman"/>
                <w:sz w:val="20"/>
                <w:szCs w:val="20"/>
              </w:rPr>
            </w:pPr>
          </w:p>
          <w:p w:rsidR="00014BD9" w:rsidRPr="00F62685" w:rsidRDefault="00014BD9"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1.</w:t>
            </w:r>
            <w:r w:rsidRPr="00F62685">
              <w:rPr>
                <w:rFonts w:ascii="Times New Roman" w:eastAsia="Times New Roman" w:hAnsi="Times New Roman" w:cs="Times New Roman"/>
                <w:sz w:val="20"/>
                <w:szCs w:val="20"/>
              </w:rPr>
              <w:tab/>
              <w:t>РАЗХОДИ ЗА ПЕРСОНАЛ</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По отношение на разходите за персонал Министерство на земеделието и храните предлага в проектобюджета за 2024 г. и в средносрочната бюджетна прогноза да бъде предвидено увеличени на средствата, както следва:</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w:t>
            </w:r>
            <w:r w:rsidRPr="00F62685">
              <w:rPr>
                <w:rFonts w:ascii="Times New Roman" w:eastAsia="Times New Roman" w:hAnsi="Times New Roman" w:cs="Times New Roman"/>
                <w:sz w:val="20"/>
                <w:szCs w:val="20"/>
              </w:rPr>
              <w:tab/>
              <w:t xml:space="preserve">Ръст от 20 % на средствата за персонал на областните дирекции „Земеделие“, Центъра за насърчаване на сътрудничеството в областта на селското стопанство между Китай и страните от Централна и Източна Европа, Националната служба за съвети в земеделието, почивните бази към МЗХ, Изпълнителна агенция по </w:t>
            </w:r>
            <w:proofErr w:type="spellStart"/>
            <w:r w:rsidRPr="00F62685">
              <w:rPr>
                <w:rFonts w:ascii="Times New Roman" w:eastAsia="Times New Roman" w:hAnsi="Times New Roman" w:cs="Times New Roman"/>
                <w:sz w:val="20"/>
                <w:szCs w:val="20"/>
              </w:rPr>
              <w:t>сортоизпитване</w:t>
            </w:r>
            <w:proofErr w:type="spellEnd"/>
            <w:r w:rsidRPr="00F62685">
              <w:rPr>
                <w:rFonts w:ascii="Times New Roman" w:eastAsia="Times New Roman" w:hAnsi="Times New Roman" w:cs="Times New Roman"/>
                <w:sz w:val="20"/>
                <w:szCs w:val="20"/>
              </w:rPr>
              <w:t>, апробация и семеконтрол, Изпълнителна агенция по лозата и виното, Изпълнителна агенция по рибарство и аквакултури, Изпълнителна агенция по селекция и репродукция в животновъдството и Център за оценка на риска по хранителната верига.  За целта са необходими средства в общ размер на 5 592 000 лв.</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Ръстът на минималната работна заплата, както и инфлационните процеси, протичащи в страната, са предпоставка за увеличение на средствата за персонал в посочените структури, както с цел преодоляване на напускането на кадри, така и с цел преодоляване на изравняването на заплащането на висококвалифицирания труд с този, за полагането на който не се изискват специфични знания и умения.</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lastRenderedPageBreak/>
              <w:t></w:t>
            </w:r>
            <w:r w:rsidRPr="00F62685">
              <w:rPr>
                <w:rFonts w:ascii="Times New Roman" w:eastAsia="Times New Roman" w:hAnsi="Times New Roman" w:cs="Times New Roman"/>
                <w:sz w:val="20"/>
                <w:szCs w:val="20"/>
              </w:rPr>
              <w:tab/>
              <w:t xml:space="preserve">Ръст от 30 % на средствата за персонал на Изпълнителна агенция „Борба с градушките“, което ще даде възможност за достигане на нетен доход на </w:t>
            </w:r>
            <w:proofErr w:type="spellStart"/>
            <w:r w:rsidRPr="00F62685">
              <w:rPr>
                <w:rFonts w:ascii="Times New Roman" w:eastAsia="Times New Roman" w:hAnsi="Times New Roman" w:cs="Times New Roman"/>
                <w:sz w:val="20"/>
                <w:szCs w:val="20"/>
              </w:rPr>
              <w:t>ракетострелците</w:t>
            </w:r>
            <w:proofErr w:type="spellEnd"/>
            <w:r w:rsidRPr="00F62685">
              <w:rPr>
                <w:rFonts w:ascii="Times New Roman" w:eastAsia="Times New Roman" w:hAnsi="Times New Roman" w:cs="Times New Roman"/>
                <w:sz w:val="20"/>
                <w:szCs w:val="20"/>
              </w:rPr>
              <w:t xml:space="preserve"> в размер на 1100 лв. и на експертния състав от физици и метеоролози в размер на 1500 лв. За целта са необходими средства в размер на 4 939 800 лв. </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В изпълнение на целите, задачите и дейностите агенцията разчита на 997 специалисти със специфични знания и умения, професии и квалификация, сред които 789 </w:t>
            </w:r>
            <w:proofErr w:type="spellStart"/>
            <w:r w:rsidRPr="00F62685">
              <w:rPr>
                <w:rFonts w:ascii="Times New Roman" w:eastAsia="Times New Roman" w:hAnsi="Times New Roman" w:cs="Times New Roman"/>
                <w:sz w:val="20"/>
                <w:szCs w:val="20"/>
              </w:rPr>
              <w:t>ракетострелци</w:t>
            </w:r>
            <w:proofErr w:type="spellEnd"/>
            <w:r w:rsidRPr="00F62685">
              <w:rPr>
                <w:rFonts w:ascii="Times New Roman" w:eastAsia="Times New Roman" w:hAnsi="Times New Roman" w:cs="Times New Roman"/>
                <w:sz w:val="20"/>
                <w:szCs w:val="20"/>
              </w:rPr>
              <w:t xml:space="preserve"> и 208 специалисти техници, физици, техници, инженери и метеоролози. Всички те се изграждат с години, работят при тежки условия на труд в отдалечени и труднодостъпни места, вземат решения и предприемат действия в рамките на секунди и боравят с взривоопасни консумативи при изпълнение  на служебните си задължения. Средната работна заплата в агенцията е 1038 лв., а брутната работна заплата на </w:t>
            </w:r>
            <w:proofErr w:type="spellStart"/>
            <w:r w:rsidRPr="00F62685">
              <w:rPr>
                <w:rFonts w:ascii="Times New Roman" w:eastAsia="Times New Roman" w:hAnsi="Times New Roman" w:cs="Times New Roman"/>
                <w:sz w:val="20"/>
                <w:szCs w:val="20"/>
              </w:rPr>
              <w:t>ракетострелците</w:t>
            </w:r>
            <w:proofErr w:type="spellEnd"/>
            <w:r w:rsidRPr="00F62685">
              <w:rPr>
                <w:rFonts w:ascii="Times New Roman" w:eastAsia="Times New Roman" w:hAnsi="Times New Roman" w:cs="Times New Roman"/>
                <w:sz w:val="20"/>
                <w:szCs w:val="20"/>
              </w:rPr>
              <w:t xml:space="preserve"> е 913 лв. Ниските заплати на тези квалифицирани специалисти и специфичните условия на труд са причина за липса на хора, желаещи да работят в агенцията, особено пък млади. Средната възраст на служителите надхвърля 52 години, а всъщност голяма част от тях са на възраст над 60 години, т.е. </w:t>
            </w:r>
            <w:proofErr w:type="spellStart"/>
            <w:r w:rsidRPr="00F62685">
              <w:rPr>
                <w:rFonts w:ascii="Times New Roman" w:eastAsia="Times New Roman" w:hAnsi="Times New Roman" w:cs="Times New Roman"/>
                <w:sz w:val="20"/>
                <w:szCs w:val="20"/>
              </w:rPr>
              <w:t>предпенсионна</w:t>
            </w:r>
            <w:proofErr w:type="spellEnd"/>
            <w:r w:rsidRPr="00F62685">
              <w:rPr>
                <w:rFonts w:ascii="Times New Roman" w:eastAsia="Times New Roman" w:hAnsi="Times New Roman" w:cs="Times New Roman"/>
                <w:sz w:val="20"/>
                <w:szCs w:val="20"/>
              </w:rPr>
              <w:t xml:space="preserve"> възраст. По естествен път в следващите няколко години системата ще изпитва остра липса на експертен персонал, което поставя под риск работата на системата. </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w:t>
            </w:r>
            <w:r w:rsidRPr="00F62685">
              <w:rPr>
                <w:rFonts w:ascii="Times New Roman" w:eastAsia="Times New Roman" w:hAnsi="Times New Roman" w:cs="Times New Roman"/>
                <w:sz w:val="20"/>
                <w:szCs w:val="20"/>
              </w:rPr>
              <w:tab/>
              <w:t>Увеличение на средствата за персонал на Българска агенция по безопасност на храните и Изпълнителна агенция по горите с 10 % на годишна база, за което са необходими средства в размер на 11 561 100 лв.</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Българска агенция по безопасност на храните и Изпълнителна агенция по горите осъществяват контрола в ключови сектори от обществения живот. Укрепване на капацитета на двете агенции е от изключително значение и е изведено като приоритет в правителствената програма. </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С осигуряването на необходимите средства по бюджетите на БАБХ  и на ИАГ в частта „Персонал“ ще се подобри изпълнението на дейностите в агенциите, в т. ч. извършваният от служителите на БАБХ официален контрол, извършван с цел прилагането на законодателството в областта на храните и фуражите, правилата относно здравеопазването на животните и хуманното отношение към тях, здравето на растенията и продуктите за растителна защита, както и извършваният от служителите на ИАГ контрол и опазване на горските територии </w:t>
            </w:r>
            <w:r w:rsidRPr="00F62685">
              <w:rPr>
                <w:rFonts w:ascii="Times New Roman" w:eastAsia="Times New Roman" w:hAnsi="Times New Roman" w:cs="Times New Roman"/>
                <w:sz w:val="20"/>
                <w:szCs w:val="20"/>
              </w:rPr>
              <w:lastRenderedPageBreak/>
              <w:t>по отношение на горските, дивечовите и рибните ресурси, с което същевременно ще се повиши мотивацията, респективно и резултатите от работата на служителите на БАБХ и ИАГ, както и привличане на квалифициран персонал.</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Общо необходимите допълнителни средства за персонал за 2024 г. и следващи бюджетни години са в размер на 22 092 900 лв.</w:t>
            </w:r>
          </w:p>
          <w:p w:rsidR="00DC7AD7" w:rsidRPr="00F62685" w:rsidRDefault="00DC7AD7"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2.</w:t>
            </w:r>
            <w:r w:rsidRPr="00F62685">
              <w:rPr>
                <w:rFonts w:ascii="Times New Roman" w:eastAsia="Times New Roman" w:hAnsi="Times New Roman" w:cs="Times New Roman"/>
                <w:sz w:val="20"/>
                <w:szCs w:val="20"/>
              </w:rPr>
              <w:tab/>
              <w:t>ИЗДРЪЖКА И ДРУГИ ТЕКУЩИ РАЗХОДИ ЗА СИСТЕМАТА НА МЗХ</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w:t>
            </w:r>
            <w:r w:rsidRPr="00F62685">
              <w:rPr>
                <w:rFonts w:ascii="Times New Roman" w:eastAsia="Times New Roman" w:hAnsi="Times New Roman" w:cs="Times New Roman"/>
                <w:sz w:val="20"/>
                <w:szCs w:val="20"/>
              </w:rPr>
              <w:tab/>
              <w:t xml:space="preserve">През последните години средствата за текуща издръжка по бюджета на МЗХ остават непроменени. Протичащите в страната инфлационни процеси в последните години поставят под риск контролни дейности и водят до натрупване на просрочени задължения. В тази връзка е необходимо увеличение на средствата за текуща издръжка с 10 % на годишна база, което се равнява на сумата от 5 500 000 лв. </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w:t>
            </w:r>
            <w:r w:rsidRPr="00F62685">
              <w:rPr>
                <w:rFonts w:ascii="Times New Roman" w:eastAsia="Times New Roman" w:hAnsi="Times New Roman" w:cs="Times New Roman"/>
                <w:sz w:val="20"/>
                <w:szCs w:val="20"/>
              </w:rPr>
              <w:tab/>
              <w:t>Средства за изпълнението на дейностите за периода от 2024 до 2026 година по актуализиране на баланса на поливните площи, приет с РМС № 512/2000 г. в Република България през 2024 г.</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ab/>
              <w:t>Последното преброяване на поливните площи е извършвано през 1999 г. Предвид посочените нормативни хипотези „поливна“ е земя, която е разположена на територия, обслужвана от напоителна система или напоително поле. С оглед на промените през последните години и промяната в урбанизираните територии е наложително актуализиране на баланса на поливните площи (площи за напояване и отводняване) в Република България, с което площите с негодна инфраструктура, както и тези с много големи разходи за поддръжка, следва да отпаднат.</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Прогнозната стойност на необходимите разходи в размер на 5 570 000 лв. на година база, за периода 2024- 2026 г. е необходим общо ресурс в размер на  в размер на  16 710 000 лв.</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w:t>
            </w:r>
            <w:r w:rsidRPr="00F62685">
              <w:rPr>
                <w:rFonts w:ascii="Times New Roman" w:eastAsia="Times New Roman" w:hAnsi="Times New Roman" w:cs="Times New Roman"/>
                <w:sz w:val="20"/>
                <w:szCs w:val="20"/>
              </w:rPr>
              <w:tab/>
              <w:t xml:space="preserve">Съгласно чл. 4, ал. 2 и ал. 3 от Наредбата (обн., ДВ, бр. 9 от 2020 г., в сила от 31.01.2020 г.), собственикът на язовира и съоръженията към него, който не отговаря на изискванията за оператор, възлага стопанисването, поддържането и осъществяването на техническата експлоатация на лице, което отговаря на изискванията на § 1, т. 95 от допълнителните разпоредби на Закона за водите. Собственикът и операторът </w:t>
            </w:r>
            <w:r w:rsidRPr="00F62685">
              <w:rPr>
                <w:rFonts w:ascii="Times New Roman" w:eastAsia="Times New Roman" w:hAnsi="Times New Roman" w:cs="Times New Roman"/>
                <w:sz w:val="20"/>
                <w:szCs w:val="20"/>
              </w:rPr>
              <w:lastRenderedPageBreak/>
              <w:t xml:space="preserve">уреждат взаимоотношенията си с договор или с акт на компетентен орган, с който се възлагат функциите на оператор. </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Съгласно чл. 138в от Закона за водите ако собственикът на язовира и съоръженията към него не отговаря на изискванията за оператор на язовирна стена по смисъла на този закон, той задължително възлага стопанисването, поддържането и осъществяването на техническата експлоатация на язовирната стена и на съоръженията към нея на лице, което отговаря на тези изисквания. </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В тази връзка за провеждане на обществена поръчка и избор на оператор за 2024 г. са необходими прогнозно 3 750 000 лв. с ДДС.</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Общо необходимите допълнителни средства 14 820 000 лв.</w:t>
            </w:r>
          </w:p>
          <w:p w:rsidR="00DC7AD7" w:rsidRPr="00F62685" w:rsidRDefault="00DC7AD7"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3. Допълнително необходимите средства за ведомствена и администрирана издръжка с цел осъществяване на цялостния контрол по </w:t>
            </w:r>
            <w:proofErr w:type="spellStart"/>
            <w:r w:rsidRPr="00F62685">
              <w:rPr>
                <w:rFonts w:ascii="Times New Roman" w:eastAsia="Times New Roman" w:hAnsi="Times New Roman" w:cs="Times New Roman"/>
                <w:sz w:val="20"/>
                <w:szCs w:val="20"/>
              </w:rPr>
              <w:t>агрохранителната</w:t>
            </w:r>
            <w:proofErr w:type="spellEnd"/>
            <w:r w:rsidRPr="00F62685">
              <w:rPr>
                <w:rFonts w:ascii="Times New Roman" w:eastAsia="Times New Roman" w:hAnsi="Times New Roman" w:cs="Times New Roman"/>
                <w:sz w:val="20"/>
                <w:szCs w:val="20"/>
              </w:rPr>
              <w:t xml:space="preserve"> верига от Българската агенция по безопасност на храните са в размер на 29 412 846 лв.</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4. </w:t>
            </w:r>
            <w:r w:rsidRPr="00F62685">
              <w:t xml:space="preserve"> </w:t>
            </w:r>
            <w:r w:rsidRPr="00F62685">
              <w:rPr>
                <w:rFonts w:ascii="Times New Roman" w:eastAsia="Times New Roman" w:hAnsi="Times New Roman" w:cs="Times New Roman"/>
                <w:sz w:val="20"/>
                <w:szCs w:val="20"/>
              </w:rPr>
              <w:t>Допълнително необходимите средства за издръжка с цел осъществяване на цялостния контрол в горския сектор от Изпълнителната агенция по горите са в размер на 12 474 400 лв.</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5.  Допълнително необходими средства за издръжка с цел осъществяване на </w:t>
            </w:r>
            <w:proofErr w:type="spellStart"/>
            <w:r w:rsidRPr="00F62685">
              <w:rPr>
                <w:rFonts w:ascii="Times New Roman" w:eastAsia="Times New Roman" w:hAnsi="Times New Roman" w:cs="Times New Roman"/>
                <w:sz w:val="20"/>
                <w:szCs w:val="20"/>
              </w:rPr>
              <w:t>градозащита</w:t>
            </w:r>
            <w:proofErr w:type="spellEnd"/>
            <w:r w:rsidRPr="00F62685">
              <w:rPr>
                <w:rFonts w:ascii="Times New Roman" w:eastAsia="Times New Roman" w:hAnsi="Times New Roman" w:cs="Times New Roman"/>
                <w:sz w:val="20"/>
                <w:szCs w:val="20"/>
              </w:rPr>
              <w:t xml:space="preserve"> със самолетен способ от Изпълнителната агенция „Борба с градушките“.</w:t>
            </w:r>
          </w:p>
          <w:p w:rsidR="00DC7AD7"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За осъществяване на дейността е необходимо  да бъде осигурено допълнително финансиране в размер на 7 000 000 лв.</w:t>
            </w:r>
          </w:p>
          <w:p w:rsidR="00DC7AD7" w:rsidRDefault="00DC7AD7"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w:t>
            </w:r>
            <w:r w:rsidRPr="00F62685">
              <w:t xml:space="preserve"> </w:t>
            </w:r>
            <w:r w:rsidRPr="00F62685">
              <w:rPr>
                <w:rFonts w:ascii="Times New Roman" w:eastAsia="Times New Roman" w:hAnsi="Times New Roman" w:cs="Times New Roman"/>
                <w:sz w:val="20"/>
                <w:szCs w:val="20"/>
              </w:rPr>
              <w:t>Общо необходимите допълнителни капиталови разходи по бюджета на МЗХ са в размер на 51 297 956 лв.</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Приема се</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Не се приема</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Не се приема</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Не се приема</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Не се приема</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Приема се частично</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F7148F"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Отразено в</w:t>
            </w:r>
            <w:r w:rsidR="00DC7AD7">
              <w:t xml:space="preserve"> </w:t>
            </w:r>
            <w:r w:rsidR="00DC7AD7">
              <w:rPr>
                <w:rFonts w:ascii="Times New Roman" w:eastAsia="Times New Roman" w:hAnsi="Times New Roman" w:cs="Times New Roman"/>
                <w:sz w:val="20"/>
                <w:szCs w:val="20"/>
              </w:rPr>
              <w:t>Актуализираната средносрочна бюдж</w:t>
            </w:r>
            <w:r>
              <w:rPr>
                <w:rFonts w:ascii="Times New Roman" w:eastAsia="Times New Roman" w:hAnsi="Times New Roman" w:cs="Times New Roman"/>
                <w:sz w:val="20"/>
                <w:szCs w:val="20"/>
              </w:rPr>
              <w:t>етна прогноза за периода 2024 -</w:t>
            </w:r>
            <w:r w:rsidR="00DC7AD7">
              <w:rPr>
                <w:rFonts w:ascii="Times New Roman" w:eastAsia="Times New Roman" w:hAnsi="Times New Roman" w:cs="Times New Roman"/>
                <w:sz w:val="20"/>
                <w:szCs w:val="20"/>
              </w:rPr>
              <w:t>2026 г.</w:t>
            </w: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Предложеният размер на разходите по бюджета на Държавен фонд „Земеделие“ е съобразен с възможностите на държавния бюджет за 2024 г., базиран на есенната макроикономическа прогноза на Министерството на финансите, на действащото законодателство, прилагане на възприетите политики и допускания от правителството за периода 2024-2026 г., отчетни данни и оценка на възможностите за </w:t>
            </w:r>
            <w:r>
              <w:rPr>
                <w:rFonts w:ascii="Times New Roman" w:eastAsia="Times New Roman" w:hAnsi="Times New Roman" w:cs="Times New Roman"/>
                <w:sz w:val="20"/>
                <w:szCs w:val="20"/>
              </w:rPr>
              <w:lastRenderedPageBreak/>
              <w:t>реализиране на инвестиционните разходи в рамките на бюджетната година, предприетите оптимизиращи приходни и разходни мерки със съответните ефекти и предложения за законодателни промени.</w:t>
            </w:r>
          </w:p>
          <w:p w:rsidR="00DC7AD7"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 тази връзка и предвид ограниченото фискално пространство, на този етап предложения за увеличения в разходната част не биха могли да бъдат удовлетворени.</w:t>
            </w: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Предложеният размер на разходите по бюджета на Държавен фонд „Земеделие“ е съобразен с възможностите на държавния бюджет за 2024 г., базиран на есенната макроикономическа прогноза на Министерството на финансите, на действащото законодателство, прилагане на възприетите политики и допускания от правителството за периода 2024-2026 г., отчетни данни и оценка на възможностите за </w:t>
            </w:r>
            <w:r>
              <w:rPr>
                <w:rFonts w:ascii="Times New Roman" w:eastAsia="Times New Roman" w:hAnsi="Times New Roman" w:cs="Times New Roman"/>
                <w:sz w:val="20"/>
                <w:szCs w:val="20"/>
              </w:rPr>
              <w:lastRenderedPageBreak/>
              <w:t>реализиране на инвестиционните разходи в рамките на бюджетната година, предприетите оптимизиращи приходни и разходни мерки със съответните ефекти и предложения за законодателни промени.</w:t>
            </w:r>
          </w:p>
          <w:p w:rsidR="00DC7AD7"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 тази връзка и предвид ограниченото фискално пространство, на този етап предложения за увеличения в разходната част не биха могли да бъдат удовлетворени.</w:t>
            </w: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Предложението ще бъде разгледано на по-късен етап при изготвянето на Средносрочната бюджетна прогноза 2025-2027 г.</w:t>
            </w: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r>
              <w:rPr>
                <w:rFonts w:ascii="Times New Roman" w:hAnsi="Times New Roman" w:cs="Times New Roman"/>
                <w:color w:val="000000"/>
              </w:rPr>
              <w:t>С проектът на ЗДБРБ за 2024 г. са предвидени средства за преодоляване на диспропорции във възнагражденията на персонала в бюджетните организации с оглед изглаждане на наблюдавани значителни дисбаланси/неравенства в нивото на заплащане в различни административни звена и структури в секторите, предоставящи публични услуги. Предвидено е средствата да бъдат разпределяни с акт на Министерския съвет.</w:t>
            </w: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sz w:val="16"/>
                <w:szCs w:val="16"/>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sz w:val="16"/>
                <w:szCs w:val="16"/>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Предложеният размер на разходите по бюджета на Държавен фонд „Земеделие“ е съобразен с възможностите на държавния бюджет за 2024 г., базиран на есенната макроикономическа прогноза на Министерството на финансите, на действащото законодателство, прилагане на възприетите политики и допускания от правителството за периода 2024-2026 г., отчетни данни и оценка на възможностите за реализиране на инвестиционните разходи в рамките на бюджетната година, предприетите оптимизиращи приходни и разходни мерки със съответните ефекти и предложения за законодателни промени.</w:t>
            </w:r>
          </w:p>
          <w:p w:rsidR="00DC7AD7"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 тази връзка и предвид ограниченото фискално пространство, на този етап предложения за увеличения в разходната част не биха могли да бъдат удовлетворени.</w:t>
            </w: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За </w:t>
            </w:r>
            <w:r>
              <w:t xml:space="preserve"> </w:t>
            </w:r>
            <w:proofErr w:type="spellStart"/>
            <w:r>
              <w:rPr>
                <w:rFonts w:ascii="Times New Roman" w:eastAsia="Times New Roman" w:hAnsi="Times New Roman" w:cs="Times New Roman"/>
                <w:sz w:val="20"/>
                <w:szCs w:val="20"/>
              </w:rPr>
              <w:t>противоградова</w:t>
            </w:r>
            <w:proofErr w:type="spellEnd"/>
            <w:r>
              <w:rPr>
                <w:rFonts w:ascii="Times New Roman" w:eastAsia="Times New Roman" w:hAnsi="Times New Roman" w:cs="Times New Roman"/>
                <w:sz w:val="20"/>
                <w:szCs w:val="20"/>
              </w:rPr>
              <w:t xml:space="preserve"> защита чрез самолетен способ и за обезщетения на пострадали земеделски стопани от градушки в Централен бюджет са предвидени средства в размер на 7 000 000 лв. годишно за периода 2024-2026 г.</w:t>
            </w: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За ремонт, превенция и предотвратяване на рискови ситуации при възникване на бедствия и аварии на язовири с предоставени права на управление на Министерството на земеделието и храните в Централен бюджет са предвидени средства в размер на 10 000 000 лв. годишно за периода 2024-2026 г.</w:t>
            </w:r>
          </w:p>
        </w:tc>
      </w:tr>
      <w:tr w:rsidR="00DC7AD7" w:rsidRPr="00F62685" w:rsidTr="00E9260B">
        <w:trPr>
          <w:trHeight w:val="161"/>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b/>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МИНИСТЕРСТВО НА ЕЛЕКТРОННОТО УПРАВЛЕНИЕ</w:t>
            </w: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Министерството на електронното управление, на основание чл. 33, ал. 1 от УПМСНА, съгласува проект на Решение на Министерския съвет за одобряване на Законопроект за държавния бюджет на Република България за 2024 г., със следните бележки:</w:t>
            </w:r>
          </w:p>
          <w:p w:rsidR="00DC7AD7" w:rsidRPr="00F62685" w:rsidRDefault="00DC7AD7"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Предлага в чл. 1, ал. 5 от законопроекта за държавния бюджет на Република България за 2024 г. да бъде добавена точка 10 „ОБЛАСТ ЕЛЕКТРОННО УПРАВЛЕНИЕ“ с подточка 10.1 „За дейности, свързани с поддръжката на Държавния хибриден частен облак и Единната електронна съобщителна мрежа, както </w:t>
            </w:r>
            <w:r w:rsidRPr="00F62685">
              <w:rPr>
                <w:rFonts w:ascii="Times New Roman" w:eastAsia="Times New Roman" w:hAnsi="Times New Roman" w:cs="Times New Roman"/>
                <w:sz w:val="20"/>
                <w:szCs w:val="20"/>
              </w:rPr>
              <w:lastRenderedPageBreak/>
              <w:t>и за изграждане на оптична свързаност на защитени пунктове за управление“ със сума 20 471,0 хил. лв.</w:t>
            </w:r>
          </w:p>
          <w:p w:rsidR="00DC7AD7" w:rsidRPr="00F62685" w:rsidRDefault="00DC7AD7"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Мотиви:</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В писмо № 04-28-189/06.11.2023 г. от Министерството на финансите (МФ) до Министерството на електронното управление (МЕУ), касаещо параметрите и допусканията, при които е разработена общата рамка на Бюджет 2024, както и предложението на МФ за основни параметри по проектобюджета на МЕУ за 2024 г., беше разписано, че „по централния бюджет за 2024 г. са предвидени разходи за поддръжка на Държавния хибриден частен облак и Единната електронна съобщителна мрежа, както и за изграждане на оптична свързаност на защитени пунктове за управление“.</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В одобрената финансова обосновка, изпратена от Министерството на финансите до Министерството на електронното управление с писмо с изх. номер 04-28-184/31.10.2023 г. (Таблица № 1 „Разчет на средствата, необходими за финансиране на дейностите, които произтичат от проекта на акт, във </w:t>
            </w:r>
            <w:proofErr w:type="spellStart"/>
            <w:r w:rsidRPr="00F62685">
              <w:rPr>
                <w:rFonts w:ascii="Times New Roman" w:eastAsia="Times New Roman" w:hAnsi="Times New Roman" w:cs="Times New Roman"/>
                <w:sz w:val="20"/>
                <w:szCs w:val="20"/>
              </w:rPr>
              <w:t>вр</w:t>
            </w:r>
            <w:proofErr w:type="spellEnd"/>
            <w:r w:rsidRPr="00F62685">
              <w:rPr>
                <w:rFonts w:ascii="Times New Roman" w:eastAsia="Times New Roman" w:hAnsi="Times New Roman" w:cs="Times New Roman"/>
                <w:sz w:val="20"/>
                <w:szCs w:val="20"/>
              </w:rPr>
              <w:t>. с т. 3“ за периода 2024 - 2026 г.) за 2024 г. са планирани 20 471 000 лв., необходими за поддръжка на софтуера, хардуера и доставка на свързаност и интернет (в т.ч. и неговата защита) за нуждите на Държавния хибриден частен облак и Единната електронна съобщителна мрежа.</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Видно от предоставения законопроект за държавния бюджет на Република България за 2024 г. във връзка със съгласуване на проект на Решение на Министерския съвет за одобряване на законопроект за държавния бюджет на Република България за 2024 г. и материалите към него на основание чл. 32 от Устройствения правилник на Министерския съвет и на неговата администрация, по чл. 1, ал. 5 няма изрично разписани допълнителни средства в областта на електронното управление.</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В Актуализираната средносрочна бюджетна прогноза за периода 2024 г. - 2026 г. за Политика в областта на електронното управление единствено е разписано, че „Ключов приоритет на правителството на Република България е въвеждане на електронното управление като основна платформа за модернизация на държавата, фактор и неотменимо условие за успеха на секторните реформи, като за тази цел е осигурен допълнителен финансов ресурс за поддръжка на Държавния хибриден частен облак и Единната електронна съобщителна мрежа.“</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Приема се</w:t>
            </w: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C16A5E"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Отразено е по проекта на ЗДБРБ за 2024 г.</w:t>
            </w:r>
            <w:r w:rsidR="00DC7AD7">
              <w:rPr>
                <w:rFonts w:ascii="Times New Roman" w:eastAsia="Times New Roman" w:hAnsi="Times New Roman" w:cs="Times New Roman"/>
                <w:sz w:val="20"/>
                <w:szCs w:val="20"/>
              </w:rPr>
              <w:t xml:space="preserve">, в т. ч. в текстовете по чл. 1, ал. 5. </w:t>
            </w: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Pr="0044086A"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МИНИСТЕРСТВО НА ТУРИЗМА</w:t>
            </w:r>
          </w:p>
        </w:tc>
        <w:tc>
          <w:tcPr>
            <w:tcW w:w="1868" w:type="pct"/>
            <w:shd w:val="clear" w:color="auto" w:fill="auto"/>
          </w:tcPr>
          <w:p w:rsidR="00DC7AD7" w:rsidRPr="007F02DB" w:rsidRDefault="00DC7AD7" w:rsidP="00097BFC">
            <w:pPr>
              <w:spacing w:after="60" w:line="240" w:lineRule="auto"/>
              <w:jc w:val="both"/>
              <w:rPr>
                <w:rFonts w:ascii="Times New Roman" w:eastAsia="Times New Roman" w:hAnsi="Times New Roman" w:cs="Times New Roman"/>
                <w:b/>
                <w:sz w:val="20"/>
                <w:szCs w:val="20"/>
              </w:rPr>
            </w:pPr>
            <w:r w:rsidRPr="007F02DB">
              <w:rPr>
                <w:rFonts w:ascii="Times New Roman" w:eastAsia="Times New Roman" w:hAnsi="Times New Roman" w:cs="Times New Roman"/>
                <w:b/>
                <w:sz w:val="20"/>
                <w:szCs w:val="20"/>
              </w:rPr>
              <w:t>МТ съгласува проекта на Решение на Министерския съвет за одобряване на законопроект за държавния бюджет на Република България за 2024 г., на основание чл. 33, ал. 1 от УПМСНА, като прави следните бележки и предложения:</w:t>
            </w:r>
          </w:p>
          <w:p w:rsidR="00DC7AD7" w:rsidRDefault="00DC7AD7" w:rsidP="00097BFC">
            <w:pPr>
              <w:spacing w:after="60" w:line="240" w:lineRule="auto"/>
              <w:jc w:val="both"/>
              <w:rPr>
                <w:rFonts w:ascii="Times New Roman" w:eastAsia="Times New Roman" w:hAnsi="Times New Roman" w:cs="Times New Roman"/>
                <w:sz w:val="20"/>
                <w:szCs w:val="20"/>
              </w:rPr>
            </w:pPr>
          </w:p>
          <w:p w:rsidR="00DC7AD7" w:rsidRPr="007F02DB" w:rsidRDefault="00DC7AD7" w:rsidP="00097BFC">
            <w:pPr>
              <w:spacing w:after="60" w:line="240" w:lineRule="auto"/>
              <w:jc w:val="both"/>
              <w:rPr>
                <w:rFonts w:ascii="Times New Roman" w:eastAsia="Times New Roman" w:hAnsi="Times New Roman" w:cs="Times New Roman"/>
                <w:sz w:val="20"/>
                <w:szCs w:val="20"/>
              </w:rPr>
            </w:pPr>
            <w:r w:rsidRPr="007F02DB">
              <w:rPr>
                <w:rFonts w:ascii="Times New Roman" w:eastAsia="Times New Roman" w:hAnsi="Times New Roman" w:cs="Times New Roman"/>
                <w:sz w:val="20"/>
                <w:szCs w:val="20"/>
              </w:rPr>
              <w:t>Във връзка с политиката в областта на националния маркетинг на туристическа дестинация България е необходимо увеличение на разхода по Политика в областта на устойчивото развитие на туризма със обща сума от 9 200,00 хил. лв., както следва:</w:t>
            </w:r>
          </w:p>
          <w:p w:rsidR="00DC7AD7" w:rsidRPr="007F02DB"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7F02DB">
              <w:rPr>
                <w:rFonts w:ascii="Times New Roman" w:eastAsia="Times New Roman" w:hAnsi="Times New Roman" w:cs="Times New Roman"/>
                <w:sz w:val="20"/>
                <w:szCs w:val="20"/>
              </w:rPr>
              <w:t xml:space="preserve">Осъществяване на интегрирани рекламни кампании на целеви български  и  перспективни пазари </w:t>
            </w:r>
          </w:p>
          <w:p w:rsidR="00DC7AD7" w:rsidRPr="007F02DB" w:rsidRDefault="00DC7AD7" w:rsidP="00097BFC">
            <w:pPr>
              <w:spacing w:after="60" w:line="240" w:lineRule="auto"/>
              <w:jc w:val="both"/>
              <w:rPr>
                <w:rFonts w:ascii="Times New Roman" w:eastAsia="Times New Roman" w:hAnsi="Times New Roman" w:cs="Times New Roman"/>
                <w:sz w:val="20"/>
                <w:szCs w:val="20"/>
              </w:rPr>
            </w:pPr>
            <w:r w:rsidRPr="007F02DB">
              <w:rPr>
                <w:rFonts w:ascii="Times New Roman" w:eastAsia="Times New Roman" w:hAnsi="Times New Roman" w:cs="Times New Roman"/>
                <w:sz w:val="20"/>
                <w:szCs w:val="20"/>
              </w:rPr>
              <w:t xml:space="preserve">Тези кампании ще постигнат наситеност и масирано присъствие на </w:t>
            </w:r>
            <w:proofErr w:type="spellStart"/>
            <w:r w:rsidRPr="007F02DB">
              <w:rPr>
                <w:rFonts w:ascii="Times New Roman" w:eastAsia="Times New Roman" w:hAnsi="Times New Roman" w:cs="Times New Roman"/>
                <w:sz w:val="20"/>
                <w:szCs w:val="20"/>
              </w:rPr>
              <w:t>таргетирани</w:t>
            </w:r>
            <w:proofErr w:type="spellEnd"/>
            <w:r w:rsidRPr="007F02DB">
              <w:rPr>
                <w:rFonts w:ascii="Times New Roman" w:eastAsia="Times New Roman" w:hAnsi="Times New Roman" w:cs="Times New Roman"/>
                <w:sz w:val="20"/>
                <w:szCs w:val="20"/>
              </w:rPr>
              <w:t xml:space="preserve"> пазари, чрез изпълнението на интегрирани кампании, като продължаване на новия подход за проектно участие чрез Втора програма  за черноморските общини, като ще бъде разширен кръга на допустимите партньори с вкл. на </w:t>
            </w:r>
            <w:proofErr w:type="spellStart"/>
            <w:r w:rsidRPr="007F02DB">
              <w:rPr>
                <w:rFonts w:ascii="Times New Roman" w:eastAsia="Times New Roman" w:hAnsi="Times New Roman" w:cs="Times New Roman"/>
                <w:sz w:val="20"/>
                <w:szCs w:val="20"/>
              </w:rPr>
              <w:t>авиопревозвачите</w:t>
            </w:r>
            <w:proofErr w:type="spellEnd"/>
            <w:r w:rsidRPr="007F02DB">
              <w:rPr>
                <w:rFonts w:ascii="Times New Roman" w:eastAsia="Times New Roman" w:hAnsi="Times New Roman" w:cs="Times New Roman"/>
                <w:sz w:val="20"/>
                <w:szCs w:val="20"/>
              </w:rPr>
              <w:t xml:space="preserve"> и др.  По прогнозни данни очакваният ефект е 20% нарастване на входящия туризъм за следващата година за Втората черноморска програма са необходими допълнителни 5 000 000 лева, което ще позволи навлизането в нови пазари: например скандинавски страни.</w:t>
            </w:r>
          </w:p>
          <w:p w:rsidR="00DC7AD7" w:rsidRPr="007F02DB" w:rsidRDefault="00DC7AD7" w:rsidP="00097BFC">
            <w:pPr>
              <w:spacing w:after="60" w:line="240" w:lineRule="auto"/>
              <w:jc w:val="both"/>
              <w:rPr>
                <w:rFonts w:ascii="Times New Roman" w:eastAsia="Times New Roman" w:hAnsi="Times New Roman" w:cs="Times New Roman"/>
                <w:sz w:val="20"/>
                <w:szCs w:val="20"/>
              </w:rPr>
            </w:pPr>
            <w:r w:rsidRPr="007F02DB">
              <w:rPr>
                <w:rFonts w:ascii="Times New Roman" w:eastAsia="Times New Roman" w:hAnsi="Times New Roman" w:cs="Times New Roman"/>
                <w:sz w:val="20"/>
                <w:szCs w:val="20"/>
              </w:rPr>
              <w:t xml:space="preserve">Изключителен интерес и подкрепа от страна на бизнеса, общините и чуждите партньори по тази програма, а именно „Програмата за финансиране на маркетингови дейности на туристически услуги в черноморските общини в България“.  </w:t>
            </w:r>
          </w:p>
          <w:p w:rsidR="00DC7AD7" w:rsidRPr="007F02DB" w:rsidRDefault="00DC7AD7" w:rsidP="00097BFC">
            <w:pPr>
              <w:spacing w:after="60" w:line="240" w:lineRule="auto"/>
              <w:jc w:val="both"/>
              <w:rPr>
                <w:rFonts w:ascii="Times New Roman" w:eastAsia="Times New Roman" w:hAnsi="Times New Roman" w:cs="Times New Roman"/>
                <w:sz w:val="20"/>
                <w:szCs w:val="20"/>
              </w:rPr>
            </w:pPr>
            <w:r w:rsidRPr="007F02DB">
              <w:rPr>
                <w:rFonts w:ascii="Times New Roman" w:eastAsia="Times New Roman" w:hAnsi="Times New Roman" w:cs="Times New Roman"/>
                <w:sz w:val="20"/>
                <w:szCs w:val="20"/>
              </w:rPr>
              <w:t>Към същата дейност предлагаме и нови промени за маркетинг по регионални проекти - Дунавски пристанища, Долината на Розите, Родопи като за стартирането на същите проекти е предвидено увеличение в размер на 3 000 000 лв. за развитието на регионите в България. Очакваният резултат по тях е увеличение от туристопотока да бъде между 4 % и 10% допълнително за трите района общо.</w:t>
            </w:r>
          </w:p>
          <w:p w:rsidR="00DC7AD7" w:rsidRPr="007F02DB" w:rsidRDefault="00DC7AD7" w:rsidP="00097BFC">
            <w:pPr>
              <w:spacing w:after="60" w:line="240" w:lineRule="auto"/>
              <w:jc w:val="both"/>
              <w:rPr>
                <w:rFonts w:ascii="Times New Roman" w:eastAsia="Times New Roman" w:hAnsi="Times New Roman" w:cs="Times New Roman"/>
                <w:sz w:val="20"/>
                <w:szCs w:val="20"/>
              </w:rPr>
            </w:pPr>
            <w:r w:rsidRPr="007F02DB">
              <w:rPr>
                <w:rFonts w:ascii="Times New Roman" w:eastAsia="Times New Roman" w:hAnsi="Times New Roman" w:cs="Times New Roman"/>
                <w:sz w:val="20"/>
                <w:szCs w:val="20"/>
              </w:rPr>
              <w:t>Общата прогнозна стойност по тези програми по т.1 е в размер на 8 000 000 лв.</w:t>
            </w:r>
          </w:p>
          <w:p w:rsidR="00DC7AD7" w:rsidRPr="007F02DB"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7F02DB">
              <w:rPr>
                <w:rFonts w:ascii="Times New Roman" w:eastAsia="Times New Roman" w:hAnsi="Times New Roman" w:cs="Times New Roman"/>
                <w:sz w:val="20"/>
                <w:szCs w:val="20"/>
              </w:rPr>
              <w:t xml:space="preserve">Осъществяване на дигитални кампании на целеви и перспективни пазари с Expedia. </w:t>
            </w:r>
          </w:p>
          <w:p w:rsidR="00DC7AD7" w:rsidRPr="007F02DB" w:rsidRDefault="00DC7AD7" w:rsidP="00097BFC">
            <w:pPr>
              <w:spacing w:after="60" w:line="240" w:lineRule="auto"/>
              <w:jc w:val="both"/>
              <w:rPr>
                <w:rFonts w:ascii="Times New Roman" w:eastAsia="Times New Roman" w:hAnsi="Times New Roman" w:cs="Times New Roman"/>
                <w:sz w:val="20"/>
                <w:szCs w:val="20"/>
              </w:rPr>
            </w:pPr>
            <w:r w:rsidRPr="007F02DB">
              <w:rPr>
                <w:rFonts w:ascii="Times New Roman" w:eastAsia="Times New Roman" w:hAnsi="Times New Roman" w:cs="Times New Roman"/>
                <w:sz w:val="20"/>
                <w:szCs w:val="20"/>
              </w:rPr>
              <w:t xml:space="preserve">Осъществяване на рекламни кампании в онлайн среда чрез позициониране на формати в търсачки и платформи, които биха могли да отчитат конкретни </w:t>
            </w:r>
            <w:proofErr w:type="spellStart"/>
            <w:r w:rsidRPr="007F02DB">
              <w:rPr>
                <w:rFonts w:ascii="Times New Roman" w:eastAsia="Times New Roman" w:hAnsi="Times New Roman" w:cs="Times New Roman"/>
                <w:sz w:val="20"/>
                <w:szCs w:val="20"/>
              </w:rPr>
              <w:t>интеракции</w:t>
            </w:r>
            <w:proofErr w:type="spellEnd"/>
            <w:r w:rsidRPr="007F02DB">
              <w:rPr>
                <w:rFonts w:ascii="Times New Roman" w:eastAsia="Times New Roman" w:hAnsi="Times New Roman" w:cs="Times New Roman"/>
                <w:sz w:val="20"/>
                <w:szCs w:val="20"/>
              </w:rPr>
              <w:t xml:space="preserve">/резервации и/или други измерители за постигната ефективност с Expedia, тъй като </w:t>
            </w:r>
            <w:r w:rsidRPr="007F02DB">
              <w:rPr>
                <w:rFonts w:ascii="Times New Roman" w:eastAsia="Times New Roman" w:hAnsi="Times New Roman" w:cs="Times New Roman"/>
                <w:sz w:val="20"/>
                <w:szCs w:val="20"/>
              </w:rPr>
              <w:lastRenderedPageBreak/>
              <w:t>Expedia не е включена в списъка за допустимите онлайн реклами по регламента на ЕС.</w:t>
            </w:r>
          </w:p>
          <w:p w:rsidR="00DC7AD7" w:rsidRPr="007F02DB" w:rsidRDefault="00DC7AD7" w:rsidP="00097BFC">
            <w:pPr>
              <w:spacing w:after="60" w:line="240" w:lineRule="auto"/>
              <w:jc w:val="both"/>
              <w:rPr>
                <w:rFonts w:ascii="Times New Roman" w:eastAsia="Times New Roman" w:hAnsi="Times New Roman" w:cs="Times New Roman"/>
                <w:sz w:val="20"/>
                <w:szCs w:val="20"/>
              </w:rPr>
            </w:pPr>
            <w:r w:rsidRPr="007F02DB">
              <w:rPr>
                <w:rFonts w:ascii="Times New Roman" w:eastAsia="Times New Roman" w:hAnsi="Times New Roman" w:cs="Times New Roman"/>
                <w:sz w:val="20"/>
                <w:szCs w:val="20"/>
              </w:rPr>
              <w:t>Прогнозни резултати от ефекта на дигиталните кампании е увеличение с 1 660 000 допълнителен брой туристи, които се очакват да посетят България в следващата година. По предварителни проучвания се очаква при 15% увеличение на средствата за реклама, за дигитални кампании на целеви пазари, ефектът да е 20% увеличение на входящият туризъм в България. Проведени са първоначални разговори, като необходимите средства за работата с Expedia са в размер 1 200 000 лева.</w:t>
            </w:r>
          </w:p>
          <w:p w:rsidR="00DC7AD7" w:rsidRDefault="00DC7AD7" w:rsidP="00097BFC">
            <w:pPr>
              <w:spacing w:after="60" w:line="240" w:lineRule="auto"/>
              <w:jc w:val="both"/>
              <w:rPr>
                <w:rFonts w:ascii="Times New Roman" w:eastAsia="Times New Roman" w:hAnsi="Times New Roman" w:cs="Times New Roman"/>
                <w:sz w:val="20"/>
                <w:szCs w:val="20"/>
              </w:rPr>
            </w:pPr>
            <w:r w:rsidRPr="007F02DB">
              <w:rPr>
                <w:rFonts w:ascii="Times New Roman" w:eastAsia="Times New Roman" w:hAnsi="Times New Roman" w:cs="Times New Roman"/>
                <w:sz w:val="20"/>
                <w:szCs w:val="20"/>
              </w:rPr>
              <w:t xml:space="preserve">В тази връзка предложението на Министерство на туризма е общо по бюджета  средствата да бъдат увеличени с 9 200 000 лева. </w:t>
            </w:r>
          </w:p>
          <w:p w:rsidR="00DC7AD7" w:rsidRPr="007F02DB" w:rsidRDefault="00DC7AD7" w:rsidP="00097BFC">
            <w:pPr>
              <w:spacing w:after="60" w:line="240" w:lineRule="auto"/>
              <w:jc w:val="both"/>
              <w:rPr>
                <w:rFonts w:ascii="Times New Roman" w:eastAsia="Times New Roman" w:hAnsi="Times New Roman" w:cs="Times New Roman"/>
                <w:sz w:val="20"/>
                <w:szCs w:val="20"/>
              </w:rPr>
            </w:pPr>
            <w:r w:rsidRPr="007F02DB">
              <w:rPr>
                <w:rFonts w:ascii="Times New Roman" w:eastAsia="Times New Roman" w:hAnsi="Times New Roman" w:cs="Times New Roman"/>
                <w:sz w:val="20"/>
                <w:szCs w:val="20"/>
              </w:rPr>
              <w:t>Направено предложение следва да намери отражение по следните параметри в Проекта на Закона за държавния бюджет на РБ за 2024 г., а именно:</w:t>
            </w:r>
          </w:p>
          <w:p w:rsidR="00DC7AD7" w:rsidRPr="007F02DB" w:rsidRDefault="00DC7AD7" w:rsidP="00097BFC">
            <w:pPr>
              <w:spacing w:after="60" w:line="240" w:lineRule="auto"/>
              <w:jc w:val="both"/>
              <w:rPr>
                <w:rFonts w:ascii="Times New Roman" w:eastAsia="Times New Roman" w:hAnsi="Times New Roman" w:cs="Times New Roman"/>
                <w:sz w:val="20"/>
                <w:szCs w:val="20"/>
              </w:rPr>
            </w:pPr>
            <w:r w:rsidRPr="007F02DB">
              <w:rPr>
                <w:rFonts w:ascii="Times New Roman" w:eastAsia="Times New Roman" w:hAnsi="Times New Roman" w:cs="Times New Roman"/>
                <w:sz w:val="20"/>
                <w:szCs w:val="20"/>
              </w:rPr>
              <w:t>В чл. 22 (1 ) Приема бюджета на Министерството на туризма за 2024 г., както следва:</w:t>
            </w:r>
          </w:p>
          <w:p w:rsidR="00DC7AD7" w:rsidRPr="007F02DB" w:rsidRDefault="00DC7AD7" w:rsidP="00097BFC">
            <w:pPr>
              <w:spacing w:after="60" w:line="240" w:lineRule="auto"/>
              <w:jc w:val="both"/>
              <w:rPr>
                <w:rFonts w:ascii="Times New Roman" w:eastAsia="Times New Roman" w:hAnsi="Times New Roman" w:cs="Times New Roman"/>
                <w:sz w:val="20"/>
                <w:szCs w:val="20"/>
              </w:rPr>
            </w:pPr>
            <w:r w:rsidRPr="007F02DB">
              <w:rPr>
                <w:rFonts w:ascii="Times New Roman" w:eastAsia="Times New Roman" w:hAnsi="Times New Roman" w:cs="Times New Roman"/>
                <w:sz w:val="20"/>
                <w:szCs w:val="20"/>
              </w:rPr>
              <w:t xml:space="preserve">„По т. II. Разходи сумата от „28 513, 3“  да  се измени на „37 713, 3“. </w:t>
            </w:r>
          </w:p>
          <w:p w:rsidR="00DC7AD7" w:rsidRPr="007F02DB" w:rsidRDefault="00DC7AD7" w:rsidP="00097BFC">
            <w:pPr>
              <w:spacing w:after="60" w:line="240" w:lineRule="auto"/>
              <w:jc w:val="both"/>
              <w:rPr>
                <w:rFonts w:ascii="Times New Roman" w:eastAsia="Times New Roman" w:hAnsi="Times New Roman" w:cs="Times New Roman"/>
                <w:sz w:val="20"/>
                <w:szCs w:val="20"/>
              </w:rPr>
            </w:pPr>
            <w:r w:rsidRPr="007F02DB">
              <w:rPr>
                <w:rFonts w:ascii="Times New Roman" w:eastAsia="Times New Roman" w:hAnsi="Times New Roman" w:cs="Times New Roman"/>
                <w:sz w:val="20"/>
                <w:szCs w:val="20"/>
              </w:rPr>
              <w:t>1.</w:t>
            </w:r>
            <w:r>
              <w:rPr>
                <w:rFonts w:ascii="Times New Roman" w:eastAsia="Times New Roman" w:hAnsi="Times New Roman" w:cs="Times New Roman"/>
                <w:sz w:val="20"/>
                <w:szCs w:val="20"/>
              </w:rPr>
              <w:t xml:space="preserve"> </w:t>
            </w:r>
            <w:r w:rsidRPr="007F02DB">
              <w:rPr>
                <w:rFonts w:ascii="Times New Roman" w:eastAsia="Times New Roman" w:hAnsi="Times New Roman" w:cs="Times New Roman"/>
                <w:sz w:val="20"/>
                <w:szCs w:val="20"/>
              </w:rPr>
              <w:t>Текущи разходи  от „28 342, 3“ да се измени на „37 542, 3“.</w:t>
            </w:r>
          </w:p>
          <w:p w:rsidR="00DC7AD7" w:rsidRPr="007F02DB" w:rsidRDefault="00DC7AD7" w:rsidP="00097BFC">
            <w:pPr>
              <w:spacing w:after="60" w:line="240" w:lineRule="auto"/>
              <w:jc w:val="both"/>
              <w:rPr>
                <w:rFonts w:ascii="Times New Roman" w:eastAsia="Times New Roman" w:hAnsi="Times New Roman" w:cs="Times New Roman"/>
                <w:sz w:val="20"/>
                <w:szCs w:val="20"/>
              </w:rPr>
            </w:pPr>
            <w:r w:rsidRPr="007F02DB">
              <w:rPr>
                <w:rFonts w:ascii="Times New Roman" w:eastAsia="Times New Roman" w:hAnsi="Times New Roman" w:cs="Times New Roman"/>
                <w:sz w:val="20"/>
                <w:szCs w:val="20"/>
              </w:rPr>
              <w:t xml:space="preserve">„По т. III. БЮДЖЕТНИ ВЗАИМООТНОШЕНИЯ (ТРАНСФЕРИ) – (+/-)“ от „19 067,4“ да се измени на „28 267, 4“ </w:t>
            </w:r>
          </w:p>
          <w:p w:rsidR="00DC7AD7" w:rsidRPr="007F02DB" w:rsidRDefault="00DC7AD7" w:rsidP="00097BFC">
            <w:pPr>
              <w:spacing w:after="60" w:line="240" w:lineRule="auto"/>
              <w:jc w:val="both"/>
              <w:rPr>
                <w:rFonts w:ascii="Times New Roman" w:eastAsia="Times New Roman" w:hAnsi="Times New Roman" w:cs="Times New Roman"/>
                <w:sz w:val="20"/>
                <w:szCs w:val="20"/>
              </w:rPr>
            </w:pPr>
            <w:r w:rsidRPr="007F02DB">
              <w:rPr>
                <w:rFonts w:ascii="Times New Roman" w:eastAsia="Times New Roman" w:hAnsi="Times New Roman" w:cs="Times New Roman"/>
                <w:sz w:val="20"/>
                <w:szCs w:val="20"/>
              </w:rPr>
              <w:t>1.</w:t>
            </w:r>
            <w:r>
              <w:rPr>
                <w:rFonts w:ascii="Times New Roman" w:eastAsia="Times New Roman" w:hAnsi="Times New Roman" w:cs="Times New Roman"/>
                <w:sz w:val="20"/>
                <w:szCs w:val="20"/>
              </w:rPr>
              <w:t xml:space="preserve"> </w:t>
            </w:r>
            <w:r w:rsidRPr="007F02DB">
              <w:rPr>
                <w:rFonts w:ascii="Times New Roman" w:eastAsia="Times New Roman" w:hAnsi="Times New Roman" w:cs="Times New Roman"/>
                <w:sz w:val="20"/>
                <w:szCs w:val="20"/>
              </w:rPr>
              <w:t xml:space="preserve">Бюджетно взаимоотношение с централния бюджет (+/-) от „19 067,4“  да се измени на  „28 267, 4“ </w:t>
            </w:r>
          </w:p>
          <w:p w:rsidR="00DC7AD7" w:rsidRPr="007F02DB" w:rsidRDefault="00DC7AD7" w:rsidP="00097BFC">
            <w:pPr>
              <w:spacing w:after="60" w:line="240" w:lineRule="auto"/>
              <w:jc w:val="both"/>
              <w:rPr>
                <w:rFonts w:ascii="Times New Roman" w:eastAsia="Times New Roman" w:hAnsi="Times New Roman" w:cs="Times New Roman"/>
                <w:sz w:val="20"/>
                <w:szCs w:val="20"/>
              </w:rPr>
            </w:pPr>
            <w:r w:rsidRPr="007F02DB">
              <w:rPr>
                <w:rFonts w:ascii="Times New Roman" w:eastAsia="Times New Roman" w:hAnsi="Times New Roman" w:cs="Times New Roman"/>
                <w:sz w:val="20"/>
                <w:szCs w:val="20"/>
              </w:rPr>
              <w:t>(2) Утвърждава разпределение на разходите по ал. 1 по области на политики и бюджетни програми, както следва:</w:t>
            </w:r>
          </w:p>
          <w:p w:rsidR="00DC7AD7" w:rsidRPr="007F02DB" w:rsidRDefault="00DC7AD7" w:rsidP="00097BFC">
            <w:pPr>
              <w:spacing w:after="60" w:line="240" w:lineRule="auto"/>
              <w:jc w:val="both"/>
              <w:rPr>
                <w:rFonts w:ascii="Times New Roman" w:eastAsia="Times New Roman" w:hAnsi="Times New Roman" w:cs="Times New Roman"/>
                <w:sz w:val="20"/>
                <w:szCs w:val="20"/>
              </w:rPr>
            </w:pPr>
            <w:r w:rsidRPr="007F02DB">
              <w:rPr>
                <w:rFonts w:ascii="Times New Roman" w:eastAsia="Times New Roman" w:hAnsi="Times New Roman" w:cs="Times New Roman"/>
                <w:sz w:val="20"/>
                <w:szCs w:val="20"/>
              </w:rPr>
              <w:t>„По т. 1 Политика в областта на устойчивото развитие на туризма“ сумата от „24 910, 0“ да се измени на „34 110,0“.</w:t>
            </w:r>
          </w:p>
          <w:p w:rsidR="00DC7AD7" w:rsidRDefault="00DC7AD7" w:rsidP="00097BFC">
            <w:pPr>
              <w:spacing w:after="60" w:line="240" w:lineRule="auto"/>
              <w:jc w:val="both"/>
              <w:rPr>
                <w:rFonts w:ascii="Times New Roman" w:eastAsia="Times New Roman" w:hAnsi="Times New Roman" w:cs="Times New Roman"/>
                <w:sz w:val="20"/>
                <w:szCs w:val="20"/>
              </w:rPr>
            </w:pPr>
            <w:r w:rsidRPr="007F02DB">
              <w:rPr>
                <w:rFonts w:ascii="Times New Roman" w:eastAsia="Times New Roman" w:hAnsi="Times New Roman" w:cs="Times New Roman"/>
                <w:sz w:val="20"/>
                <w:szCs w:val="20"/>
              </w:rPr>
              <w:t xml:space="preserve"> „Всичко: сумата от „28 513, 3“ да се измени на „37 713,3“ .</w:t>
            </w:r>
          </w:p>
          <w:p w:rsidR="00DC7AD7" w:rsidRPr="007F02DB" w:rsidRDefault="00DC7AD7" w:rsidP="00097BFC">
            <w:pPr>
              <w:spacing w:after="60" w:line="240" w:lineRule="auto"/>
              <w:jc w:val="both"/>
              <w:rPr>
                <w:rFonts w:ascii="Times New Roman" w:eastAsia="Times New Roman" w:hAnsi="Times New Roman" w:cs="Times New Roman"/>
                <w:sz w:val="20"/>
                <w:szCs w:val="20"/>
              </w:rPr>
            </w:pPr>
            <w:r w:rsidRPr="007F02DB">
              <w:rPr>
                <w:rFonts w:ascii="Times New Roman" w:eastAsia="Times New Roman" w:hAnsi="Times New Roman" w:cs="Times New Roman"/>
                <w:sz w:val="20"/>
                <w:szCs w:val="20"/>
              </w:rPr>
              <w:t>(3) Утвърждава максималните размери на ангажиментите за разходи, които могат да бъдат поети през 2024 г., и максималните размери на новите задължения за разходи, които могат да бъдат натрупани през 2024 г. от Министерството на туризма, както следва:</w:t>
            </w:r>
          </w:p>
          <w:p w:rsidR="00DC7AD7" w:rsidRPr="007F02DB" w:rsidRDefault="00DC7AD7" w:rsidP="00097BFC">
            <w:pPr>
              <w:spacing w:after="60" w:line="240" w:lineRule="auto"/>
              <w:jc w:val="both"/>
              <w:rPr>
                <w:rFonts w:ascii="Times New Roman" w:eastAsia="Times New Roman" w:hAnsi="Times New Roman" w:cs="Times New Roman"/>
                <w:sz w:val="20"/>
                <w:szCs w:val="20"/>
              </w:rPr>
            </w:pPr>
            <w:r w:rsidRPr="007F02DB">
              <w:rPr>
                <w:rFonts w:ascii="Times New Roman" w:eastAsia="Times New Roman" w:hAnsi="Times New Roman" w:cs="Times New Roman"/>
                <w:sz w:val="20"/>
                <w:szCs w:val="20"/>
              </w:rPr>
              <w:t>„1.Максимален размер на ангажиментите за разходи, които могат да бъдат поети през 2024 г.“ сумата от „20 213, 2“ да се измени на „29 413,2“.</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7F02DB">
              <w:rPr>
                <w:rFonts w:ascii="Times New Roman" w:eastAsia="Times New Roman" w:hAnsi="Times New Roman" w:cs="Times New Roman"/>
                <w:sz w:val="20"/>
                <w:szCs w:val="20"/>
              </w:rPr>
              <w:lastRenderedPageBreak/>
              <w:t>„2. Максимален размер на новите задължения за разходи, които могат да бъдат натрупани през 2024 г.“ сумата от „23 197, 4“ да се измени на „32 397,4“.</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Не се приема</w:t>
            </w: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Pr="00DD0EDD" w:rsidRDefault="00DC7AD7" w:rsidP="00DC7AD7">
            <w:pPr>
              <w:spacing w:after="0" w:line="240" w:lineRule="auto"/>
              <w:jc w:val="both"/>
              <w:rPr>
                <w:rFonts w:ascii="Times New Roman" w:eastAsia="Times New Roman" w:hAnsi="Times New Roman" w:cs="Times New Roman"/>
                <w:sz w:val="20"/>
                <w:szCs w:val="20"/>
              </w:rPr>
            </w:pPr>
            <w:r w:rsidRPr="00DD0EDD">
              <w:rPr>
                <w:rFonts w:ascii="Times New Roman" w:eastAsia="Times New Roman" w:hAnsi="Times New Roman" w:cs="Times New Roman"/>
                <w:sz w:val="20"/>
                <w:szCs w:val="20"/>
              </w:rPr>
              <w:t>Предложеният размер на разходите по бюджета на Министерството на туризма е съобразен с възможностите на държавния бюджет за 2024 г., базиран на есенната макроикономическа прогноза на Министерството на финансите, на действащото законодателство, прилагане на възприетите политики и допускания от правителството за периода 2024-2026 г., отчетни данни и оценка на възможностите за реализиране на инвестиционните разходи в рамките на бюджетната година, предприетите оптимизиращи приходни и разходни мерки със съответните ефекти и предложения за законодателни промени.</w:t>
            </w:r>
          </w:p>
          <w:p w:rsidR="00DC7AD7" w:rsidRPr="0044086A" w:rsidRDefault="00DC7AD7" w:rsidP="00DC7AD7">
            <w:pPr>
              <w:spacing w:after="0" w:line="240" w:lineRule="auto"/>
              <w:jc w:val="both"/>
              <w:rPr>
                <w:rFonts w:ascii="Times New Roman" w:eastAsia="Times New Roman" w:hAnsi="Times New Roman" w:cs="Times New Roman"/>
                <w:sz w:val="20"/>
                <w:szCs w:val="20"/>
              </w:rPr>
            </w:pPr>
            <w:r w:rsidRPr="00DD0EDD">
              <w:rPr>
                <w:rFonts w:ascii="Times New Roman" w:eastAsia="Times New Roman" w:hAnsi="Times New Roman" w:cs="Times New Roman"/>
                <w:sz w:val="20"/>
                <w:szCs w:val="20"/>
              </w:rPr>
              <w:t>В тази връзка и предвид ограниченото фискално пространство, на този етап предложения за увеличения в разходната част не биха могли да бъдат удовлетворени</w:t>
            </w: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МИНИСТЕРСТВО НА КУЛТУРАТА</w:t>
            </w:r>
          </w:p>
        </w:tc>
        <w:tc>
          <w:tcPr>
            <w:tcW w:w="1868" w:type="pct"/>
            <w:shd w:val="clear" w:color="auto" w:fill="auto"/>
          </w:tcPr>
          <w:p w:rsidR="00DC7AD7" w:rsidRDefault="00DC7AD7" w:rsidP="00097BFC">
            <w:pPr>
              <w:spacing w:after="60" w:line="240" w:lineRule="auto"/>
              <w:jc w:val="both"/>
              <w:rPr>
                <w:rFonts w:ascii="Times New Roman" w:eastAsia="Times New Roman" w:hAnsi="Times New Roman" w:cs="Times New Roman"/>
                <w:b/>
                <w:sz w:val="20"/>
                <w:szCs w:val="20"/>
              </w:rPr>
            </w:pPr>
            <w:r w:rsidRPr="006F0A78">
              <w:rPr>
                <w:rFonts w:ascii="Times New Roman" w:eastAsia="Times New Roman" w:hAnsi="Times New Roman" w:cs="Times New Roman"/>
                <w:b/>
                <w:sz w:val="20"/>
                <w:szCs w:val="20"/>
              </w:rPr>
              <w:t>Министерство на културата предоставя следните бележки по проекта на Решение на Министерския съвет за одобряване на законопроект за държавния бюджет на Република България за 2024 г.:</w:t>
            </w:r>
          </w:p>
          <w:p w:rsidR="00DC7AD7" w:rsidRPr="006F0A78" w:rsidRDefault="00DC7AD7" w:rsidP="00097BFC">
            <w:pPr>
              <w:spacing w:after="60" w:line="240" w:lineRule="auto"/>
              <w:jc w:val="both"/>
              <w:rPr>
                <w:rFonts w:ascii="Times New Roman" w:eastAsia="Times New Roman" w:hAnsi="Times New Roman" w:cs="Times New Roman"/>
                <w:b/>
                <w:sz w:val="20"/>
                <w:szCs w:val="20"/>
              </w:rPr>
            </w:pPr>
          </w:p>
          <w:p w:rsidR="00DC7AD7" w:rsidRPr="006F0A78" w:rsidRDefault="00DC7AD7" w:rsidP="00097BFC">
            <w:pPr>
              <w:spacing w:after="60" w:line="240" w:lineRule="auto"/>
              <w:jc w:val="both"/>
              <w:rPr>
                <w:rFonts w:ascii="Times New Roman" w:eastAsia="Times New Roman" w:hAnsi="Times New Roman" w:cs="Times New Roman"/>
                <w:sz w:val="20"/>
                <w:szCs w:val="20"/>
              </w:rPr>
            </w:pPr>
            <w:r w:rsidRPr="006F0A78">
              <w:rPr>
                <w:rFonts w:ascii="Times New Roman" w:eastAsia="Times New Roman" w:hAnsi="Times New Roman" w:cs="Times New Roman"/>
                <w:sz w:val="20"/>
                <w:szCs w:val="20"/>
              </w:rPr>
              <w:t>1. Политиката в областта на създаване и популяризиране на съвременно изкуство в страната и в чужбина и достъп до качествено художествено образование е пряко насочена към подобряване на състоянието на сградния фонд на сценични институти и училища в посока на достъпна, здравословна и безопасна среда с цел повишаване качеството на работата и на учебния процес. От друга страна Министерство на културата както и второстепенните разпоредители с бюджет по бюджета на министерството стопанисват и управляват сгради – паметници на културата, които с оглед тяхното опазване и ползване по предназначение се нуждаят от реконструкция и реставрация.</w:t>
            </w:r>
          </w:p>
          <w:p w:rsidR="00DC7AD7" w:rsidRPr="006F0A78" w:rsidRDefault="00DC7AD7" w:rsidP="00097BFC">
            <w:pPr>
              <w:spacing w:after="60" w:line="240" w:lineRule="auto"/>
              <w:jc w:val="both"/>
              <w:rPr>
                <w:rFonts w:ascii="Times New Roman" w:eastAsia="Times New Roman" w:hAnsi="Times New Roman" w:cs="Times New Roman"/>
                <w:sz w:val="20"/>
                <w:szCs w:val="20"/>
              </w:rPr>
            </w:pPr>
            <w:r w:rsidRPr="006F0A78">
              <w:rPr>
                <w:rFonts w:ascii="Times New Roman" w:eastAsia="Times New Roman" w:hAnsi="Times New Roman" w:cs="Times New Roman"/>
                <w:sz w:val="20"/>
                <w:szCs w:val="20"/>
              </w:rPr>
              <w:t>Във тази връзка през 2023 г. стартира изпълнението на девет инвестиционни проекти за обновяване на сградния фонд, като са заплатени аванси по договори за строителство на обща стойност 5 850 802,01 лв. Строителството ще продължи и ще бъде финализирано до края на 2024 г., като за разплащането им са необходими 12 684 422,40 лв.  (съгласно справка Приложение 2.1), от които капиталови разходи:</w:t>
            </w:r>
          </w:p>
          <w:p w:rsidR="00DC7AD7" w:rsidRPr="006F0A78" w:rsidRDefault="00DC7AD7" w:rsidP="00097BFC">
            <w:pPr>
              <w:spacing w:after="60" w:line="240" w:lineRule="auto"/>
              <w:jc w:val="both"/>
              <w:rPr>
                <w:rFonts w:ascii="Times New Roman" w:eastAsia="Times New Roman" w:hAnsi="Times New Roman" w:cs="Times New Roman"/>
                <w:sz w:val="20"/>
                <w:szCs w:val="20"/>
              </w:rPr>
            </w:pPr>
            <w:r w:rsidRPr="006F0A78">
              <w:rPr>
                <w:rFonts w:ascii="Times New Roman" w:eastAsia="Times New Roman" w:hAnsi="Times New Roman" w:cs="Times New Roman"/>
                <w:sz w:val="20"/>
                <w:szCs w:val="20"/>
              </w:rPr>
              <w:t>-</w:t>
            </w:r>
            <w:r w:rsidRPr="006F0A78">
              <w:rPr>
                <w:rFonts w:ascii="Times New Roman" w:eastAsia="Times New Roman" w:hAnsi="Times New Roman" w:cs="Times New Roman"/>
                <w:sz w:val="20"/>
                <w:szCs w:val="20"/>
              </w:rPr>
              <w:tab/>
              <w:t>По програма „Администрация“ – 100 800,00 лв.</w:t>
            </w:r>
          </w:p>
          <w:p w:rsidR="00DC7AD7" w:rsidRPr="006F0A78" w:rsidRDefault="00DC7AD7" w:rsidP="00097BFC">
            <w:pPr>
              <w:spacing w:after="60" w:line="240" w:lineRule="auto"/>
              <w:jc w:val="both"/>
              <w:rPr>
                <w:rFonts w:ascii="Times New Roman" w:eastAsia="Times New Roman" w:hAnsi="Times New Roman" w:cs="Times New Roman"/>
                <w:sz w:val="20"/>
                <w:szCs w:val="20"/>
              </w:rPr>
            </w:pPr>
            <w:r w:rsidRPr="006F0A78">
              <w:rPr>
                <w:rFonts w:ascii="Times New Roman" w:eastAsia="Times New Roman" w:hAnsi="Times New Roman" w:cs="Times New Roman"/>
                <w:sz w:val="20"/>
                <w:szCs w:val="20"/>
              </w:rPr>
              <w:t>-</w:t>
            </w:r>
            <w:r w:rsidRPr="006F0A78">
              <w:rPr>
                <w:rFonts w:ascii="Times New Roman" w:eastAsia="Times New Roman" w:hAnsi="Times New Roman" w:cs="Times New Roman"/>
                <w:sz w:val="20"/>
                <w:szCs w:val="20"/>
              </w:rPr>
              <w:tab/>
              <w:t>По програма „Опазване на недвижимо културно наследство“ – 226 800,00 лв.</w:t>
            </w:r>
          </w:p>
          <w:p w:rsidR="00DC7AD7" w:rsidRPr="006F0A78" w:rsidRDefault="00DC7AD7" w:rsidP="00097BFC">
            <w:pPr>
              <w:spacing w:after="60" w:line="240" w:lineRule="auto"/>
              <w:jc w:val="both"/>
              <w:rPr>
                <w:rFonts w:ascii="Times New Roman" w:eastAsia="Times New Roman" w:hAnsi="Times New Roman" w:cs="Times New Roman"/>
                <w:sz w:val="20"/>
                <w:szCs w:val="20"/>
              </w:rPr>
            </w:pPr>
            <w:r w:rsidRPr="006F0A78">
              <w:rPr>
                <w:rFonts w:ascii="Times New Roman" w:eastAsia="Times New Roman" w:hAnsi="Times New Roman" w:cs="Times New Roman"/>
                <w:sz w:val="20"/>
                <w:szCs w:val="20"/>
              </w:rPr>
              <w:t>-</w:t>
            </w:r>
            <w:r w:rsidRPr="006F0A78">
              <w:rPr>
                <w:rFonts w:ascii="Times New Roman" w:eastAsia="Times New Roman" w:hAnsi="Times New Roman" w:cs="Times New Roman"/>
                <w:sz w:val="20"/>
                <w:szCs w:val="20"/>
              </w:rPr>
              <w:tab/>
              <w:t>По програма „Сценични изкуства“ – 12 356 822,40 лв.</w:t>
            </w:r>
          </w:p>
          <w:p w:rsidR="00DC7AD7" w:rsidRPr="006F0A78" w:rsidRDefault="00DC7AD7" w:rsidP="00097BFC">
            <w:pPr>
              <w:spacing w:after="60" w:line="240" w:lineRule="auto"/>
              <w:jc w:val="both"/>
              <w:rPr>
                <w:rFonts w:ascii="Times New Roman" w:eastAsia="Times New Roman" w:hAnsi="Times New Roman" w:cs="Times New Roman"/>
                <w:sz w:val="20"/>
                <w:szCs w:val="20"/>
              </w:rPr>
            </w:pPr>
            <w:r w:rsidRPr="006F0A78">
              <w:rPr>
                <w:rFonts w:ascii="Times New Roman" w:eastAsia="Times New Roman" w:hAnsi="Times New Roman" w:cs="Times New Roman"/>
                <w:sz w:val="20"/>
                <w:szCs w:val="20"/>
              </w:rPr>
              <w:t xml:space="preserve">В Министерство на културата са постъпили искания от Второстепенните разпоредители с бюджет по бюджета на Министерство на културата за осигуряване на средства за капиталови разходи през 2024 г., поради невъзможност същите да се осигурят от бюджета на съответния културен институт. За обектите са изготвени инвестиционни проекти, издадени са разрешения строеж, сключени са договори по реда на чл. 114 от ЗОП с избраните изпълнители, а други са в процес на провеждане или обявяване на обществени поръчки за избор на изпълнители. Обектите, стойността, срока за изпълнение и степента на </w:t>
            </w:r>
            <w:r w:rsidRPr="006F0A78">
              <w:rPr>
                <w:rFonts w:ascii="Times New Roman" w:eastAsia="Times New Roman" w:hAnsi="Times New Roman" w:cs="Times New Roman"/>
                <w:sz w:val="20"/>
                <w:szCs w:val="20"/>
              </w:rPr>
              <w:lastRenderedPageBreak/>
              <w:t>готовност за започване на строителството са описани в справка Приложение 2.2. Необходимият финансов ресурс за изпълнението им е в размер на 28 930 236,80 лв., от които:</w:t>
            </w:r>
          </w:p>
          <w:p w:rsidR="00DC7AD7" w:rsidRPr="006F0A78" w:rsidRDefault="00DC7AD7" w:rsidP="00097BFC">
            <w:pPr>
              <w:spacing w:after="60" w:line="240" w:lineRule="auto"/>
              <w:jc w:val="both"/>
              <w:rPr>
                <w:rFonts w:ascii="Times New Roman" w:eastAsia="Times New Roman" w:hAnsi="Times New Roman" w:cs="Times New Roman"/>
                <w:sz w:val="20"/>
                <w:szCs w:val="20"/>
              </w:rPr>
            </w:pPr>
            <w:r w:rsidRPr="006F0A78">
              <w:rPr>
                <w:rFonts w:ascii="Times New Roman" w:eastAsia="Times New Roman" w:hAnsi="Times New Roman" w:cs="Times New Roman"/>
                <w:sz w:val="20"/>
                <w:szCs w:val="20"/>
              </w:rPr>
              <w:t>-</w:t>
            </w:r>
            <w:r w:rsidRPr="006F0A78">
              <w:rPr>
                <w:rFonts w:ascii="Times New Roman" w:eastAsia="Times New Roman" w:hAnsi="Times New Roman" w:cs="Times New Roman"/>
                <w:sz w:val="20"/>
                <w:szCs w:val="20"/>
              </w:rPr>
              <w:tab/>
              <w:t>По програма „Опазване на недвижимо културно наследство“ – 15 225 891,00 лв.</w:t>
            </w:r>
          </w:p>
          <w:p w:rsidR="00DC7AD7" w:rsidRPr="006F0A78" w:rsidRDefault="00DC7AD7" w:rsidP="00097BFC">
            <w:pPr>
              <w:spacing w:after="60" w:line="240" w:lineRule="auto"/>
              <w:jc w:val="both"/>
              <w:rPr>
                <w:rFonts w:ascii="Times New Roman" w:eastAsia="Times New Roman" w:hAnsi="Times New Roman" w:cs="Times New Roman"/>
                <w:sz w:val="20"/>
                <w:szCs w:val="20"/>
              </w:rPr>
            </w:pPr>
            <w:r w:rsidRPr="006F0A78">
              <w:rPr>
                <w:rFonts w:ascii="Times New Roman" w:eastAsia="Times New Roman" w:hAnsi="Times New Roman" w:cs="Times New Roman"/>
                <w:sz w:val="20"/>
                <w:szCs w:val="20"/>
              </w:rPr>
              <w:t>-</w:t>
            </w:r>
            <w:r w:rsidRPr="006F0A78">
              <w:rPr>
                <w:rFonts w:ascii="Times New Roman" w:eastAsia="Times New Roman" w:hAnsi="Times New Roman" w:cs="Times New Roman"/>
                <w:sz w:val="20"/>
                <w:szCs w:val="20"/>
              </w:rPr>
              <w:tab/>
              <w:t>По програма „Сценични изкуства“ – 12 477 945,79 лв.</w:t>
            </w:r>
          </w:p>
          <w:p w:rsidR="00DC7AD7" w:rsidRDefault="00DC7AD7" w:rsidP="00097BFC">
            <w:pPr>
              <w:spacing w:after="60" w:line="240" w:lineRule="auto"/>
              <w:jc w:val="both"/>
              <w:rPr>
                <w:rFonts w:ascii="Times New Roman" w:eastAsia="Times New Roman" w:hAnsi="Times New Roman" w:cs="Times New Roman"/>
                <w:sz w:val="20"/>
                <w:szCs w:val="20"/>
              </w:rPr>
            </w:pPr>
            <w:r w:rsidRPr="006F0A78">
              <w:rPr>
                <w:rFonts w:ascii="Times New Roman" w:eastAsia="Times New Roman" w:hAnsi="Times New Roman" w:cs="Times New Roman"/>
                <w:sz w:val="20"/>
                <w:szCs w:val="20"/>
              </w:rPr>
              <w:t>Общият размер на необходимите допълнителни средства за капиталови разходи за 2024 г. по съответните бюджетни програми са:</w:t>
            </w:r>
          </w:p>
          <w:p w:rsidR="00DC7AD7" w:rsidRPr="006F0A78" w:rsidRDefault="00DC7AD7" w:rsidP="00097BFC">
            <w:pPr>
              <w:spacing w:after="60" w:line="240" w:lineRule="auto"/>
              <w:jc w:val="both"/>
              <w:rPr>
                <w:rFonts w:ascii="Times New Roman" w:eastAsia="Times New Roman" w:hAnsi="Times New Roman" w:cs="Times New Roman"/>
                <w:sz w:val="20"/>
                <w:szCs w:val="20"/>
              </w:rPr>
            </w:pPr>
            <w:r w:rsidRPr="006F0A78">
              <w:rPr>
                <w:rFonts w:ascii="Times New Roman" w:eastAsia="Times New Roman" w:hAnsi="Times New Roman" w:cs="Times New Roman"/>
                <w:i/>
                <w:sz w:val="20"/>
                <w:szCs w:val="20"/>
              </w:rPr>
              <w:t>(съгласно писмото)</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1. Не се приема</w:t>
            </w: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b/>
                <w:sz w:val="20"/>
                <w:szCs w:val="20"/>
              </w:rPr>
            </w:pPr>
          </w:p>
          <w:p w:rsidR="00DC7AD7" w:rsidRPr="0063629E" w:rsidRDefault="00DC7AD7" w:rsidP="00DC7AD7">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По т. 1, т. 2.</w:t>
            </w:r>
            <w:r w:rsidRPr="0063629E">
              <w:rPr>
                <w:rFonts w:ascii="Times New Roman" w:eastAsia="Times New Roman" w:hAnsi="Times New Roman" w:cs="Times New Roman"/>
                <w:b/>
                <w:sz w:val="20"/>
                <w:szCs w:val="20"/>
              </w:rPr>
              <w:t>1</w:t>
            </w:r>
            <w:r>
              <w:rPr>
                <w:rFonts w:ascii="Times New Roman" w:eastAsia="Times New Roman" w:hAnsi="Times New Roman" w:cs="Times New Roman"/>
                <w:b/>
                <w:sz w:val="20"/>
                <w:szCs w:val="20"/>
              </w:rPr>
              <w:t>, т. 2.2, т. 3 и т.4:</w:t>
            </w:r>
          </w:p>
          <w:p w:rsidR="00DC7AD7" w:rsidRPr="00CF43D9" w:rsidRDefault="00DC7AD7" w:rsidP="00DC7AD7">
            <w:pPr>
              <w:spacing w:after="0" w:line="240" w:lineRule="auto"/>
              <w:jc w:val="both"/>
              <w:rPr>
                <w:rFonts w:ascii="Times New Roman" w:eastAsia="Times New Roman" w:hAnsi="Times New Roman" w:cs="Times New Roman"/>
                <w:sz w:val="20"/>
                <w:szCs w:val="20"/>
              </w:rPr>
            </w:pPr>
            <w:r w:rsidRPr="00CF43D9">
              <w:rPr>
                <w:rFonts w:ascii="Times New Roman" w:eastAsia="Times New Roman" w:hAnsi="Times New Roman" w:cs="Times New Roman"/>
                <w:sz w:val="20"/>
                <w:szCs w:val="20"/>
              </w:rPr>
              <w:t xml:space="preserve">Предложеният размер на разходите по бюджета на Министерството на културата </w:t>
            </w:r>
            <w:r>
              <w:rPr>
                <w:rFonts w:ascii="Times New Roman" w:eastAsia="Times New Roman" w:hAnsi="Times New Roman" w:cs="Times New Roman"/>
                <w:sz w:val="20"/>
                <w:szCs w:val="20"/>
              </w:rPr>
              <w:t>и по централния бюджет са</w:t>
            </w:r>
            <w:r w:rsidRPr="00CF43D9">
              <w:rPr>
                <w:rFonts w:ascii="Times New Roman" w:eastAsia="Times New Roman" w:hAnsi="Times New Roman" w:cs="Times New Roman"/>
                <w:sz w:val="20"/>
                <w:szCs w:val="20"/>
              </w:rPr>
              <w:t xml:space="preserve"> съобразен</w:t>
            </w:r>
            <w:r>
              <w:rPr>
                <w:rFonts w:ascii="Times New Roman" w:eastAsia="Times New Roman" w:hAnsi="Times New Roman" w:cs="Times New Roman"/>
                <w:sz w:val="20"/>
                <w:szCs w:val="20"/>
              </w:rPr>
              <w:t>и</w:t>
            </w:r>
            <w:r w:rsidRPr="00CF43D9">
              <w:rPr>
                <w:rFonts w:ascii="Times New Roman" w:eastAsia="Times New Roman" w:hAnsi="Times New Roman" w:cs="Times New Roman"/>
                <w:sz w:val="20"/>
                <w:szCs w:val="20"/>
              </w:rPr>
              <w:t xml:space="preserve"> с възможностите на държавния бюджет за 2024 г., базиран на есенната макроикономическа прогноза на Министерството на финансите, на действащото законодателство, прилагане на възприетите политики и допускания от правителството за периода 2024-2026 г., отчетни данни и оценка на възможностите за реализиране на инвестиционните разходи в рамките на бюджетната година, предприетите оптимизиращи приходни и разходни мерки със съответните ефекти и предложения за законодателни промени.</w:t>
            </w:r>
          </w:p>
          <w:p w:rsidR="00DC7AD7" w:rsidRDefault="00DC7AD7" w:rsidP="00DC7AD7">
            <w:pPr>
              <w:spacing w:after="0" w:line="240" w:lineRule="auto"/>
              <w:jc w:val="both"/>
              <w:rPr>
                <w:rFonts w:ascii="Times New Roman" w:eastAsia="Times New Roman" w:hAnsi="Times New Roman" w:cs="Times New Roman"/>
                <w:sz w:val="20"/>
                <w:szCs w:val="20"/>
              </w:rPr>
            </w:pPr>
            <w:r w:rsidRPr="00CF43D9">
              <w:rPr>
                <w:rFonts w:ascii="Times New Roman" w:eastAsia="Times New Roman" w:hAnsi="Times New Roman" w:cs="Times New Roman"/>
                <w:sz w:val="20"/>
                <w:szCs w:val="20"/>
              </w:rPr>
              <w:t>В тази връзка и предвид ограниченото фискално пространство, на този етап предложения за увеличения в разходната част не биха могли да бъдат удовлетворени.</w:t>
            </w: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5F43E7">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6F0A78" w:rsidRDefault="00DC7AD7" w:rsidP="00097BFC">
            <w:pPr>
              <w:spacing w:after="60" w:line="240" w:lineRule="auto"/>
              <w:jc w:val="both"/>
              <w:rPr>
                <w:rFonts w:ascii="Times New Roman" w:eastAsia="Times New Roman" w:hAnsi="Times New Roman" w:cs="Times New Roman"/>
                <w:sz w:val="20"/>
                <w:szCs w:val="20"/>
              </w:rPr>
            </w:pPr>
            <w:r w:rsidRPr="006F0A78">
              <w:rPr>
                <w:rFonts w:ascii="Times New Roman" w:eastAsia="Times New Roman" w:hAnsi="Times New Roman" w:cs="Times New Roman"/>
                <w:sz w:val="20"/>
                <w:szCs w:val="20"/>
              </w:rPr>
              <w:t xml:space="preserve">2.1. Ежегодно се отбелязва сериозен ръст на интереса към програмата за консервация и реставрация на недвижими културни ценности. През 2021 г. постъпиха проекти за близо 7 млн. лв., през 2022 г. за над 19 млн. лв., а през 2023 г. са за над 22 млн. лв. Ежегодно се финансира инструментален и сеизмичен мониторинг на обекти световно наследство. Тази програма е единствената, по която се финансират аварийни </w:t>
            </w:r>
            <w:proofErr w:type="spellStart"/>
            <w:r w:rsidRPr="006F0A78">
              <w:rPr>
                <w:rFonts w:ascii="Times New Roman" w:eastAsia="Times New Roman" w:hAnsi="Times New Roman" w:cs="Times New Roman"/>
                <w:sz w:val="20"/>
                <w:szCs w:val="20"/>
              </w:rPr>
              <w:t>консервационно</w:t>
            </w:r>
            <w:proofErr w:type="spellEnd"/>
            <w:r w:rsidRPr="006F0A78">
              <w:rPr>
                <w:rFonts w:ascii="Times New Roman" w:eastAsia="Times New Roman" w:hAnsi="Times New Roman" w:cs="Times New Roman"/>
                <w:sz w:val="20"/>
                <w:szCs w:val="20"/>
              </w:rPr>
              <w:t xml:space="preserve">-реставрационни дейности на археологически обекти и сгради недвижими културни ценности. Необходими са средства за крепостта Баба Вида, </w:t>
            </w:r>
            <w:proofErr w:type="spellStart"/>
            <w:r w:rsidRPr="006F0A78">
              <w:rPr>
                <w:rFonts w:ascii="Times New Roman" w:eastAsia="Times New Roman" w:hAnsi="Times New Roman" w:cs="Times New Roman"/>
                <w:sz w:val="20"/>
                <w:szCs w:val="20"/>
              </w:rPr>
              <w:t>Александровската</w:t>
            </w:r>
            <w:proofErr w:type="spellEnd"/>
            <w:r w:rsidRPr="006F0A78">
              <w:rPr>
                <w:rFonts w:ascii="Times New Roman" w:eastAsia="Times New Roman" w:hAnsi="Times New Roman" w:cs="Times New Roman"/>
                <w:sz w:val="20"/>
                <w:szCs w:val="20"/>
              </w:rPr>
              <w:t xml:space="preserve"> гробница, Провадия – Солницата, Резервата </w:t>
            </w:r>
            <w:proofErr w:type="spellStart"/>
            <w:r w:rsidRPr="006F0A78">
              <w:rPr>
                <w:rFonts w:ascii="Times New Roman" w:eastAsia="Times New Roman" w:hAnsi="Times New Roman" w:cs="Times New Roman"/>
                <w:sz w:val="20"/>
                <w:szCs w:val="20"/>
              </w:rPr>
              <w:t>Сборяново</w:t>
            </w:r>
            <w:proofErr w:type="spellEnd"/>
            <w:r w:rsidRPr="006F0A78">
              <w:rPr>
                <w:rFonts w:ascii="Times New Roman" w:eastAsia="Times New Roman" w:hAnsi="Times New Roman" w:cs="Times New Roman"/>
                <w:sz w:val="20"/>
                <w:szCs w:val="20"/>
              </w:rPr>
              <w:t xml:space="preserve">, Софийската Синагога, "Източната могила" при Караново, храмът на </w:t>
            </w:r>
            <w:proofErr w:type="spellStart"/>
            <w:r w:rsidRPr="006F0A78">
              <w:rPr>
                <w:rFonts w:ascii="Times New Roman" w:eastAsia="Times New Roman" w:hAnsi="Times New Roman" w:cs="Times New Roman"/>
                <w:sz w:val="20"/>
                <w:szCs w:val="20"/>
              </w:rPr>
              <w:t>Кибела</w:t>
            </w:r>
            <w:proofErr w:type="spellEnd"/>
            <w:r w:rsidRPr="006F0A78">
              <w:rPr>
                <w:rFonts w:ascii="Times New Roman" w:eastAsia="Times New Roman" w:hAnsi="Times New Roman" w:cs="Times New Roman"/>
                <w:sz w:val="20"/>
                <w:szCs w:val="20"/>
              </w:rPr>
              <w:t xml:space="preserve"> в Балчик, остров „Св. Св. Кирик и </w:t>
            </w:r>
            <w:proofErr w:type="spellStart"/>
            <w:r w:rsidRPr="006F0A78">
              <w:rPr>
                <w:rFonts w:ascii="Times New Roman" w:eastAsia="Times New Roman" w:hAnsi="Times New Roman" w:cs="Times New Roman"/>
                <w:sz w:val="20"/>
                <w:szCs w:val="20"/>
              </w:rPr>
              <w:t>Юлита</w:t>
            </w:r>
            <w:proofErr w:type="spellEnd"/>
            <w:r w:rsidRPr="006F0A78">
              <w:rPr>
                <w:rFonts w:ascii="Times New Roman" w:eastAsia="Times New Roman" w:hAnsi="Times New Roman" w:cs="Times New Roman"/>
                <w:sz w:val="20"/>
                <w:szCs w:val="20"/>
              </w:rPr>
              <w:t xml:space="preserve">“ и др. обекти. </w:t>
            </w:r>
          </w:p>
          <w:p w:rsidR="00DC7AD7" w:rsidRPr="00F62685" w:rsidRDefault="00DC7AD7" w:rsidP="00BB7FC5">
            <w:pPr>
              <w:spacing w:after="60" w:line="240" w:lineRule="auto"/>
              <w:jc w:val="both"/>
              <w:rPr>
                <w:rFonts w:ascii="Times New Roman" w:eastAsia="Times New Roman" w:hAnsi="Times New Roman" w:cs="Times New Roman"/>
                <w:sz w:val="20"/>
                <w:szCs w:val="20"/>
              </w:rPr>
            </w:pPr>
            <w:r w:rsidRPr="006F0A78">
              <w:rPr>
                <w:rFonts w:ascii="Times New Roman" w:eastAsia="Times New Roman" w:hAnsi="Times New Roman" w:cs="Times New Roman"/>
                <w:sz w:val="20"/>
                <w:szCs w:val="20"/>
              </w:rPr>
              <w:t>В Приложение 1.3 са описани постъпилите заявления по обявена сесия за 2024 г. за целева финансова подкрепа по бюджетна програма „Опазване на недвижимото културно наследство“(Администрирани разходи). Необходимият допълнителен финансов ресурс е в размер на 15 278 677,80 лв.</w:t>
            </w:r>
          </w:p>
        </w:tc>
        <w:tc>
          <w:tcPr>
            <w:tcW w:w="574" w:type="pct"/>
            <w:shd w:val="clear" w:color="auto" w:fill="auto"/>
          </w:tcPr>
          <w:p w:rsidR="00DC7AD7" w:rsidRPr="00657A5B" w:rsidRDefault="00DC7AD7" w:rsidP="00DC7AD7">
            <w:pPr>
              <w:spacing w:after="0" w:line="240" w:lineRule="auto"/>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2.1. Не се приема</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5F43E7">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6F0A78" w:rsidRDefault="00DC7AD7" w:rsidP="00097BFC">
            <w:pPr>
              <w:spacing w:after="60" w:line="240" w:lineRule="auto"/>
              <w:jc w:val="both"/>
              <w:rPr>
                <w:rFonts w:ascii="Times New Roman" w:eastAsia="Times New Roman" w:hAnsi="Times New Roman" w:cs="Times New Roman"/>
                <w:sz w:val="20"/>
                <w:szCs w:val="20"/>
              </w:rPr>
            </w:pPr>
            <w:r w:rsidRPr="006F0A78">
              <w:rPr>
                <w:rFonts w:ascii="Times New Roman" w:eastAsia="Times New Roman" w:hAnsi="Times New Roman" w:cs="Times New Roman"/>
                <w:sz w:val="20"/>
                <w:szCs w:val="20"/>
              </w:rPr>
              <w:t xml:space="preserve">2.2. През 2024 г. за теренни археологически проучвания са необходими допълнително 4 000 000 лв. </w:t>
            </w:r>
          </w:p>
          <w:p w:rsidR="00DC7AD7" w:rsidRPr="006F0A78" w:rsidRDefault="00DC7AD7" w:rsidP="00097BFC">
            <w:pPr>
              <w:spacing w:after="60" w:line="240" w:lineRule="auto"/>
              <w:jc w:val="both"/>
              <w:rPr>
                <w:rFonts w:ascii="Times New Roman" w:eastAsia="Times New Roman" w:hAnsi="Times New Roman" w:cs="Times New Roman"/>
                <w:sz w:val="20"/>
                <w:szCs w:val="20"/>
              </w:rPr>
            </w:pPr>
            <w:r w:rsidRPr="006F0A78">
              <w:rPr>
                <w:rFonts w:ascii="Times New Roman" w:eastAsia="Times New Roman" w:hAnsi="Times New Roman" w:cs="Times New Roman"/>
                <w:sz w:val="20"/>
                <w:szCs w:val="20"/>
              </w:rPr>
              <w:t>Финансирането на проекти за археологически проучвания показва, че необходимите средства значително надхвърлят заложените в бюджета. През 2021 г. по конкурсната сесия са постъпили проекти на стойност около 4 млн. лв., през 2022 – на стойност близо 5 млн. лв., а през 2023 г. на стойност близо 8 млн. лв. Следва да се предвидят средства и за финансиране на приоритетни археологически обекти, за които до 2021 г. са отпускани пари от централния бюджет с цел скорошно преминаване към реставрация, социализация и включването им в културни и туристически маршрути.</w:t>
            </w:r>
          </w:p>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auto"/>
          </w:tcPr>
          <w:p w:rsidR="00DC7AD7" w:rsidRPr="00657A5B" w:rsidRDefault="00DC7AD7" w:rsidP="00DC7AD7">
            <w:pPr>
              <w:spacing w:after="0" w:line="240" w:lineRule="auto"/>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2.2. Не се приема</w:t>
            </w: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5F43E7">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62685" w:rsidRDefault="00DC7AD7" w:rsidP="00BB7FC5">
            <w:pPr>
              <w:spacing w:after="60" w:line="240" w:lineRule="auto"/>
              <w:jc w:val="both"/>
              <w:rPr>
                <w:rFonts w:ascii="Times New Roman" w:eastAsia="Times New Roman" w:hAnsi="Times New Roman" w:cs="Times New Roman"/>
                <w:sz w:val="20"/>
                <w:szCs w:val="20"/>
              </w:rPr>
            </w:pPr>
            <w:r w:rsidRPr="006F0A78">
              <w:rPr>
                <w:rFonts w:ascii="Times New Roman" w:eastAsia="Times New Roman" w:hAnsi="Times New Roman" w:cs="Times New Roman"/>
                <w:sz w:val="20"/>
                <w:szCs w:val="20"/>
              </w:rPr>
              <w:t>3. Във връзка с дигитализация, реставрация и консервация на документи от Национален документален архив на Националния институт за недвижимо културно наследство е изготвена справка от директора на института за дейностите, необходимия финансов ресурс и срок за изпълнение. Съгласно Приложение 3 за изпълнението на описаните дейностите са необходими 36 789 316,92 лв. в рамките на две години. Предвид изложеното е необходимо през 2024 г. да бъдат осигурени допълнително 18 394 658,46 лв. по бюджета на Министерство на културата за нуждите на Националния институт за недвижимо културно наследство.</w:t>
            </w:r>
          </w:p>
        </w:tc>
        <w:tc>
          <w:tcPr>
            <w:tcW w:w="574" w:type="pct"/>
            <w:shd w:val="clear" w:color="auto" w:fill="auto"/>
          </w:tcPr>
          <w:p w:rsidR="00DC7AD7" w:rsidRPr="00657A5B" w:rsidRDefault="00DC7AD7" w:rsidP="00DC7AD7">
            <w:pPr>
              <w:spacing w:after="0" w:line="240" w:lineRule="auto"/>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3. Не се приема</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5F43E7">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62685" w:rsidRDefault="00DC7AD7" w:rsidP="00BB7FC5">
            <w:pPr>
              <w:spacing w:after="60" w:line="240" w:lineRule="auto"/>
              <w:jc w:val="both"/>
              <w:rPr>
                <w:rFonts w:ascii="Times New Roman" w:eastAsia="Times New Roman" w:hAnsi="Times New Roman" w:cs="Times New Roman"/>
                <w:sz w:val="20"/>
                <w:szCs w:val="20"/>
              </w:rPr>
            </w:pPr>
            <w:r w:rsidRPr="006F0A78">
              <w:rPr>
                <w:rFonts w:ascii="Times New Roman" w:eastAsia="Times New Roman" w:hAnsi="Times New Roman" w:cs="Times New Roman"/>
                <w:sz w:val="20"/>
                <w:szCs w:val="20"/>
              </w:rPr>
              <w:t>4. Предлагаме по чл. 1, т. 6 Област Култура и изкуства, подточка 6.1. от проекта за закон за държавния бюджет за 2024 г. „За постигнати резултати в държавните културни институти в областта на културното и аудиовизуално наследство и библиотечното дело, в музеите, художествените галерии и библиотеките с регионален характер, и в читалищата, както и за реализиране на културни програми в чужбина, планове за управление и опазване на недвижимо културно наследство, по методика, свързана с извършена дейност, разработена от министъра на културата“  сумата в колона 2 „28 500, 00 хиляди лв.“ (двадесет и осем милиона и петстотин хиляди лева) да се замени със сумата „42 500, 00 лв.“ (четиридесет и два милиона и петстотин хиляди лева)</w:t>
            </w:r>
            <w:r w:rsidR="00BB7FC5">
              <w:rPr>
                <w:rFonts w:ascii="Times New Roman" w:eastAsia="Times New Roman" w:hAnsi="Times New Roman" w:cs="Times New Roman"/>
                <w:sz w:val="20"/>
                <w:szCs w:val="20"/>
              </w:rPr>
              <w:t>.</w:t>
            </w:r>
          </w:p>
        </w:tc>
        <w:tc>
          <w:tcPr>
            <w:tcW w:w="574" w:type="pct"/>
            <w:shd w:val="clear" w:color="auto" w:fill="auto"/>
          </w:tcPr>
          <w:p w:rsidR="00DC7AD7" w:rsidRPr="00657A5B" w:rsidRDefault="00DC7AD7" w:rsidP="00DC7AD7">
            <w:pPr>
              <w:spacing w:after="0" w:line="240" w:lineRule="auto"/>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4. Не се приема</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CE6F3F" w:rsidRPr="00F62685" w:rsidTr="005F43E7">
        <w:trPr>
          <w:trHeight w:val="64"/>
        </w:trPr>
        <w:tc>
          <w:tcPr>
            <w:tcW w:w="941" w:type="pct"/>
            <w:shd w:val="clear" w:color="auto" w:fill="auto"/>
          </w:tcPr>
          <w:p w:rsidR="00CE6F3F" w:rsidRPr="00F62685" w:rsidRDefault="00CE6F3F" w:rsidP="00CE6F3F">
            <w:pPr>
              <w:spacing w:after="0" w:line="240" w:lineRule="auto"/>
              <w:rPr>
                <w:rFonts w:ascii="Times New Roman" w:eastAsia="Times New Roman" w:hAnsi="Times New Roman" w:cs="Times New Roman"/>
                <w:b/>
                <w:sz w:val="20"/>
                <w:szCs w:val="20"/>
              </w:rPr>
            </w:pPr>
          </w:p>
        </w:tc>
        <w:tc>
          <w:tcPr>
            <w:tcW w:w="1868" w:type="pct"/>
            <w:shd w:val="clear" w:color="auto" w:fill="auto"/>
          </w:tcPr>
          <w:p w:rsidR="00CE6F3F" w:rsidRPr="006F0A78" w:rsidRDefault="00CE6F3F" w:rsidP="00CE6F3F">
            <w:pPr>
              <w:spacing w:after="60" w:line="240" w:lineRule="auto"/>
              <w:jc w:val="both"/>
              <w:rPr>
                <w:rFonts w:ascii="Times New Roman" w:eastAsia="Times New Roman" w:hAnsi="Times New Roman" w:cs="Times New Roman"/>
                <w:sz w:val="20"/>
                <w:szCs w:val="20"/>
              </w:rPr>
            </w:pPr>
            <w:r w:rsidRPr="006F0A78">
              <w:rPr>
                <w:rFonts w:ascii="Times New Roman" w:eastAsia="Times New Roman" w:hAnsi="Times New Roman" w:cs="Times New Roman"/>
                <w:sz w:val="20"/>
                <w:szCs w:val="20"/>
              </w:rPr>
              <w:t>5. По проекта на стандарти за делегираните от държавата дейности с натурални и стойностни показатели за 2024 г., съгласно писмо от министъра на културата до Министерство на финансите, наш изх. № 04-06-299/07.11.2023 г., в отговор на писмо ваш изх. № 04-01-155/06.11.2023 г. (Приложение  4), предлагаме в законопроекта да бъдат включени следните позиции:</w:t>
            </w:r>
          </w:p>
          <w:p w:rsidR="00CE6F3F" w:rsidRPr="006F0A78" w:rsidRDefault="00CE6F3F" w:rsidP="00CE6F3F">
            <w:pPr>
              <w:spacing w:after="60" w:line="240" w:lineRule="auto"/>
              <w:jc w:val="both"/>
              <w:rPr>
                <w:rFonts w:ascii="Times New Roman" w:eastAsia="Times New Roman" w:hAnsi="Times New Roman" w:cs="Times New Roman"/>
                <w:sz w:val="20"/>
                <w:szCs w:val="20"/>
              </w:rPr>
            </w:pPr>
            <w:r w:rsidRPr="006F0A78">
              <w:rPr>
                <w:rFonts w:ascii="Times New Roman" w:eastAsia="Times New Roman" w:hAnsi="Times New Roman" w:cs="Times New Roman"/>
                <w:sz w:val="20"/>
                <w:szCs w:val="20"/>
              </w:rPr>
              <w:t>а) По отношение на натуралните и стойностните показатели за държавните културни институти в областта на културното и аудиовизуалното наследство на делегиран бюджет и натуралните и стойностните показатели за музеи и галерии с регионален характер, финансирани като делегирани от държавата дейности, финансирани по стандарти за 2024 г., както следва:</w:t>
            </w:r>
          </w:p>
          <w:p w:rsidR="00CE6F3F" w:rsidRPr="006F0A78" w:rsidRDefault="00CE6F3F" w:rsidP="00CE6F3F">
            <w:pPr>
              <w:spacing w:after="60" w:line="240" w:lineRule="auto"/>
              <w:jc w:val="both"/>
              <w:rPr>
                <w:rFonts w:ascii="Times New Roman" w:eastAsia="Times New Roman" w:hAnsi="Times New Roman" w:cs="Times New Roman"/>
                <w:sz w:val="20"/>
                <w:szCs w:val="20"/>
              </w:rPr>
            </w:pPr>
            <w:r w:rsidRPr="006F0A78">
              <w:rPr>
                <w:rFonts w:ascii="Times New Roman" w:eastAsia="Times New Roman" w:hAnsi="Times New Roman" w:cs="Times New Roman"/>
                <w:sz w:val="20"/>
                <w:szCs w:val="20"/>
              </w:rPr>
              <w:t>За 2024 г., за обезпечаване на предложените увеличения за държавните културни институти в областта на културното и аудиовизуалното наследство ще са необходими допълнителни средства в размер на: 7 180 825 лв.</w:t>
            </w:r>
          </w:p>
          <w:p w:rsidR="00CE6F3F" w:rsidRPr="006F0A78" w:rsidRDefault="00CE6F3F" w:rsidP="00CE6F3F">
            <w:pPr>
              <w:spacing w:after="60" w:line="240" w:lineRule="auto"/>
              <w:jc w:val="both"/>
              <w:rPr>
                <w:rFonts w:ascii="Times New Roman" w:eastAsia="Times New Roman" w:hAnsi="Times New Roman" w:cs="Times New Roman"/>
                <w:sz w:val="20"/>
                <w:szCs w:val="20"/>
              </w:rPr>
            </w:pPr>
            <w:r w:rsidRPr="006F0A78">
              <w:rPr>
                <w:rFonts w:ascii="Times New Roman" w:eastAsia="Times New Roman" w:hAnsi="Times New Roman" w:cs="Times New Roman"/>
                <w:sz w:val="20"/>
                <w:szCs w:val="20"/>
              </w:rPr>
              <w:lastRenderedPageBreak/>
              <w:tab/>
              <w:t>За 2024 г., за обезпечаване на предложените увеличения за общинските музеи и художествени галерии с регионален характер ще са необходими допълнителни средства в размер на: 25 120 332 лв.</w:t>
            </w:r>
          </w:p>
          <w:p w:rsidR="00CE6F3F" w:rsidRPr="006F0A78" w:rsidRDefault="00CE6F3F" w:rsidP="00CE6F3F">
            <w:pPr>
              <w:spacing w:after="60" w:line="240" w:lineRule="auto"/>
              <w:jc w:val="both"/>
              <w:rPr>
                <w:rFonts w:ascii="Times New Roman" w:eastAsia="Times New Roman" w:hAnsi="Times New Roman" w:cs="Times New Roman"/>
                <w:sz w:val="20"/>
                <w:szCs w:val="20"/>
              </w:rPr>
            </w:pPr>
            <w:r w:rsidRPr="006F0A78">
              <w:rPr>
                <w:rFonts w:ascii="Times New Roman" w:eastAsia="Times New Roman" w:hAnsi="Times New Roman" w:cs="Times New Roman"/>
                <w:sz w:val="20"/>
                <w:szCs w:val="20"/>
              </w:rPr>
              <w:tab/>
              <w:t>За преминаване на 50 общински музея и художествени галерии към финансиране по стандарти ще са необходими допълнителни средства в размер на: 7 899 729 лв.</w:t>
            </w:r>
          </w:p>
          <w:p w:rsidR="00CE6F3F" w:rsidRPr="006F0A78" w:rsidRDefault="00CE6F3F" w:rsidP="00CE6F3F">
            <w:pPr>
              <w:spacing w:after="60" w:line="240" w:lineRule="auto"/>
              <w:jc w:val="both"/>
              <w:rPr>
                <w:rFonts w:ascii="Times New Roman" w:eastAsia="Times New Roman" w:hAnsi="Times New Roman" w:cs="Times New Roman"/>
                <w:sz w:val="20"/>
                <w:szCs w:val="20"/>
              </w:rPr>
            </w:pPr>
            <w:r w:rsidRPr="006F0A78">
              <w:rPr>
                <w:rFonts w:ascii="Times New Roman" w:eastAsia="Times New Roman" w:hAnsi="Times New Roman" w:cs="Times New Roman"/>
                <w:sz w:val="20"/>
                <w:szCs w:val="20"/>
              </w:rPr>
              <w:t>б) По отношение на проекта на стандарти за делегираните от държавата дейности с натурални и стойностни показатели за 2024 г. за Националната библиотека „Св. Св. Кирил и Методий“ и регионалните библиотеки ще са необходими допълнителни средства в размер на:</w:t>
            </w:r>
          </w:p>
          <w:p w:rsidR="00CE6F3F" w:rsidRPr="006F0A78" w:rsidRDefault="00CE6F3F" w:rsidP="00CE6F3F">
            <w:pPr>
              <w:spacing w:after="60" w:line="240" w:lineRule="auto"/>
              <w:jc w:val="both"/>
              <w:rPr>
                <w:rFonts w:ascii="Times New Roman" w:eastAsia="Times New Roman" w:hAnsi="Times New Roman" w:cs="Times New Roman"/>
                <w:sz w:val="20"/>
                <w:szCs w:val="20"/>
              </w:rPr>
            </w:pPr>
            <w:r w:rsidRPr="006F0A78">
              <w:rPr>
                <w:rFonts w:ascii="Times New Roman" w:eastAsia="Times New Roman" w:hAnsi="Times New Roman" w:cs="Times New Roman"/>
                <w:sz w:val="20"/>
                <w:szCs w:val="20"/>
              </w:rPr>
              <w:t>За Националната библиотека – 2 598 574 лв., за закрити площи 28 000 лв.</w:t>
            </w:r>
          </w:p>
          <w:p w:rsidR="00CE6F3F" w:rsidRPr="006F0A78" w:rsidRDefault="00CE6F3F" w:rsidP="00CE6F3F">
            <w:pPr>
              <w:spacing w:after="60" w:line="240" w:lineRule="auto"/>
              <w:jc w:val="both"/>
              <w:rPr>
                <w:rFonts w:ascii="Times New Roman" w:eastAsia="Times New Roman" w:hAnsi="Times New Roman" w:cs="Times New Roman"/>
                <w:sz w:val="20"/>
                <w:szCs w:val="20"/>
              </w:rPr>
            </w:pPr>
            <w:r w:rsidRPr="006F0A78">
              <w:rPr>
                <w:rFonts w:ascii="Times New Roman" w:eastAsia="Times New Roman" w:hAnsi="Times New Roman" w:cs="Times New Roman"/>
                <w:sz w:val="20"/>
                <w:szCs w:val="20"/>
              </w:rPr>
              <w:t>За регионалните библиотеки – 9 687 006 лв., за закрити площи 469 211 лв.</w:t>
            </w:r>
          </w:p>
          <w:p w:rsidR="00CE6F3F" w:rsidRPr="00F62685" w:rsidRDefault="00CE6F3F" w:rsidP="00CE6F3F">
            <w:pPr>
              <w:spacing w:after="60" w:line="240" w:lineRule="auto"/>
              <w:jc w:val="both"/>
              <w:rPr>
                <w:rFonts w:ascii="Times New Roman" w:eastAsia="Times New Roman" w:hAnsi="Times New Roman" w:cs="Times New Roman"/>
                <w:sz w:val="20"/>
                <w:szCs w:val="20"/>
              </w:rPr>
            </w:pPr>
            <w:r w:rsidRPr="006F0A78">
              <w:rPr>
                <w:rFonts w:ascii="Times New Roman" w:eastAsia="Times New Roman" w:hAnsi="Times New Roman" w:cs="Times New Roman"/>
                <w:sz w:val="20"/>
                <w:szCs w:val="20"/>
              </w:rPr>
              <w:t>За читалищата – 33 801 777 лв.</w:t>
            </w:r>
          </w:p>
        </w:tc>
        <w:tc>
          <w:tcPr>
            <w:tcW w:w="574" w:type="pct"/>
            <w:shd w:val="clear" w:color="auto" w:fill="auto"/>
          </w:tcPr>
          <w:p w:rsidR="00CE6F3F" w:rsidRPr="00657A5B" w:rsidRDefault="00CE6F3F" w:rsidP="00CE6F3F">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5. Не се приема</w:t>
            </w:r>
          </w:p>
          <w:p w:rsidR="00CE6F3F" w:rsidRPr="00657A5B" w:rsidRDefault="00CE6F3F" w:rsidP="00CE6F3F">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CE6F3F" w:rsidRPr="00EB0507" w:rsidRDefault="004B7EFB" w:rsidP="00CE6F3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5. </w:t>
            </w:r>
            <w:r w:rsidR="00CE6F3F" w:rsidRPr="00EB0507">
              <w:rPr>
                <w:rFonts w:ascii="Times New Roman" w:eastAsia="Times New Roman" w:hAnsi="Times New Roman" w:cs="Times New Roman"/>
                <w:sz w:val="20"/>
                <w:szCs w:val="20"/>
              </w:rPr>
              <w:t>Разчетените разходи за делегираните от държавата дейности по бюджета на Министерството на културата и по бюджетите на общините са съобразени с възможностите на държавния бюджет за 2024 г., базиран на есенната макроикономическа прогноза на Министерството на финансите, на действащото законодателство, прилагане на възприетите политики и допускания от правителството за 2024 г.</w:t>
            </w:r>
          </w:p>
          <w:p w:rsidR="00CE6F3F" w:rsidRDefault="00CE6F3F" w:rsidP="00CE6F3F">
            <w:pPr>
              <w:spacing w:after="0" w:line="240" w:lineRule="auto"/>
              <w:jc w:val="both"/>
              <w:rPr>
                <w:rFonts w:ascii="Times New Roman" w:eastAsia="Times New Roman" w:hAnsi="Times New Roman" w:cs="Times New Roman"/>
                <w:sz w:val="20"/>
                <w:szCs w:val="20"/>
              </w:rPr>
            </w:pPr>
            <w:r w:rsidRPr="00EB0507">
              <w:rPr>
                <w:rFonts w:ascii="Times New Roman" w:eastAsia="Times New Roman" w:hAnsi="Times New Roman" w:cs="Times New Roman"/>
                <w:sz w:val="20"/>
                <w:szCs w:val="20"/>
              </w:rPr>
              <w:t>В тази връзка и предвид ограниченото фискално пространство, на този етап предложения за увеличения в разходната част не биха могли да бъдат удовлетворени.</w:t>
            </w:r>
          </w:p>
          <w:p w:rsidR="00CE6F3F" w:rsidRPr="00324513" w:rsidRDefault="00CE6F3F" w:rsidP="00CE6F3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Следва да се отбележи, че по централния бюджет, в чл.1, ал.5 са предвидени </w:t>
            </w:r>
            <w:r w:rsidRPr="00324513">
              <w:rPr>
                <w:rFonts w:ascii="Times New Roman" w:eastAsia="Times New Roman" w:hAnsi="Times New Roman" w:cs="Times New Roman"/>
                <w:sz w:val="20"/>
                <w:szCs w:val="20"/>
              </w:rPr>
              <w:t xml:space="preserve">28,5 млн. лв. за допълнително целево подпомагане от държавния бюджет на държавни и общински културни организации, от тях: </w:t>
            </w:r>
          </w:p>
          <w:p w:rsidR="00CE6F3F" w:rsidRPr="00324513" w:rsidRDefault="00CE6F3F" w:rsidP="00CE6F3F">
            <w:pPr>
              <w:ind w:left="92"/>
              <w:jc w:val="both"/>
              <w:rPr>
                <w:rFonts w:ascii="Times New Roman" w:eastAsia="Times New Roman" w:hAnsi="Times New Roman" w:cs="Times New Roman"/>
                <w:sz w:val="20"/>
                <w:szCs w:val="20"/>
              </w:rPr>
            </w:pPr>
            <w:r w:rsidRPr="00324513">
              <w:rPr>
                <w:rFonts w:ascii="Times New Roman" w:eastAsia="Times New Roman" w:hAnsi="Times New Roman" w:cs="Times New Roman"/>
                <w:sz w:val="20"/>
                <w:szCs w:val="20"/>
              </w:rPr>
              <w:t xml:space="preserve">13,5 млн. лв. за финансиране на културната дейност, осъществявана от държавни и общински културни организации в областта на културното и </w:t>
            </w:r>
            <w:r w:rsidRPr="00324513">
              <w:rPr>
                <w:rFonts w:ascii="Times New Roman" w:eastAsia="Times New Roman" w:hAnsi="Times New Roman" w:cs="Times New Roman"/>
                <w:sz w:val="20"/>
                <w:szCs w:val="20"/>
              </w:rPr>
              <w:lastRenderedPageBreak/>
              <w:t>аудиовизуално наследство и библиотечното дело, в музеите, художествените галерии и библиотеките, и в читалищата, както и за реализиране на културни програми в чужбина, планове за управление и опазване на недвижимо културно наследство, по стандарти за финансиране, включително за възнаграждения на персонала въз основа на приети от Министерския съвет стандарти за финансиране и натурални показатели за съответната дейност.</w:t>
            </w:r>
          </w:p>
          <w:p w:rsidR="00CE6F3F" w:rsidRPr="00F62685" w:rsidRDefault="00CE6F3F" w:rsidP="00CE6F3F">
            <w:pPr>
              <w:ind w:left="92"/>
              <w:jc w:val="both"/>
              <w:rPr>
                <w:rFonts w:ascii="Times New Roman" w:eastAsia="Times New Roman" w:hAnsi="Times New Roman" w:cs="Times New Roman"/>
                <w:sz w:val="20"/>
                <w:szCs w:val="20"/>
              </w:rPr>
            </w:pPr>
            <w:r w:rsidRPr="00324513">
              <w:rPr>
                <w:rFonts w:ascii="Times New Roman" w:eastAsia="Times New Roman" w:hAnsi="Times New Roman" w:cs="Times New Roman"/>
                <w:sz w:val="20"/>
                <w:szCs w:val="20"/>
              </w:rPr>
              <w:t xml:space="preserve">15,0 млн. лв. за финансиране на проекти с приоритетен характер за развитие на държавни и общински културни организации и структури с цел създаване и развитие на културни продукти. </w:t>
            </w: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МИНИСТЕРСТВО НА МЛАДЕЖТА И СПОРТА</w:t>
            </w:r>
          </w:p>
        </w:tc>
        <w:tc>
          <w:tcPr>
            <w:tcW w:w="1868" w:type="pct"/>
            <w:shd w:val="clear" w:color="auto" w:fill="auto"/>
          </w:tcPr>
          <w:p w:rsidR="00DC7AD7" w:rsidRPr="00F62685" w:rsidRDefault="00DC7AD7" w:rsidP="00097BFC">
            <w:pPr>
              <w:spacing w:before="120" w:after="60" w:line="240" w:lineRule="auto"/>
              <w:jc w:val="center"/>
              <w:rPr>
                <w:rFonts w:ascii="Times New Roman" w:eastAsia="Times New Roman" w:hAnsi="Times New Roman" w:cs="Times New Roman"/>
                <w:b/>
                <w:sz w:val="20"/>
                <w:szCs w:val="20"/>
                <w:u w:val="single"/>
              </w:rPr>
            </w:pPr>
            <w:r w:rsidRPr="00F62685">
              <w:rPr>
                <w:rFonts w:ascii="Times New Roman" w:eastAsia="Times New Roman" w:hAnsi="Times New Roman" w:cs="Times New Roman"/>
                <w:b/>
                <w:sz w:val="20"/>
                <w:szCs w:val="20"/>
                <w:u w:val="single"/>
              </w:rPr>
              <w:t>СЪГЛАСУВА БЕЗ БЕЛЕЖКИ</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АДМИНИСТРАЦИЯ НА ПРЕЗИДЕНТА</w:t>
            </w: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Администрацията на президента изразява следното становище във връзка с изпратените в съответствие с чл. 32 от УПМСНА проект на Решение на Министерския съвет за одобряване на законопроект за държавния бюджет на Република България за 2024 г и материалите към него:</w:t>
            </w:r>
          </w:p>
          <w:p w:rsidR="00DC7AD7" w:rsidRPr="00F62685" w:rsidRDefault="00DC7AD7"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В проекта на бюджет, в частта за бюджета на Администрация на президента за 2024 г., разходите за издръжка се запазват непроменени спрямо 2022 г. При изготвяне на проектите на бюджет за следващата година, нееднократно са отправяни мотивирани предложения за необходимите допълнителни средства, предвид натрупаната инфлация и настъпили нормативни промени, отнасящи се до основната ни дейност.</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В тези предложения се обосновава и необходимостта от неотложна основна подмяна на мрежовото и комуникационно оборудване в сградата на Администрация на президента, както и за придобиване на нови софтуерни пакети, с цел повишаване на информационната сигурност и защита от инциденти и </w:t>
            </w:r>
            <w:proofErr w:type="spellStart"/>
            <w:r w:rsidRPr="00F62685">
              <w:rPr>
                <w:rFonts w:ascii="Times New Roman" w:eastAsia="Times New Roman" w:hAnsi="Times New Roman" w:cs="Times New Roman"/>
                <w:sz w:val="20"/>
                <w:szCs w:val="20"/>
              </w:rPr>
              <w:t>кибер</w:t>
            </w:r>
            <w:proofErr w:type="spellEnd"/>
            <w:r w:rsidRPr="00F62685">
              <w:rPr>
                <w:rFonts w:ascii="Times New Roman" w:eastAsia="Times New Roman" w:hAnsi="Times New Roman" w:cs="Times New Roman"/>
                <w:sz w:val="20"/>
                <w:szCs w:val="20"/>
              </w:rPr>
              <w:t xml:space="preserve"> </w:t>
            </w:r>
            <w:r w:rsidRPr="00F62685">
              <w:rPr>
                <w:rFonts w:ascii="Times New Roman" w:eastAsia="Times New Roman" w:hAnsi="Times New Roman" w:cs="Times New Roman"/>
                <w:sz w:val="20"/>
                <w:szCs w:val="20"/>
              </w:rPr>
              <w:lastRenderedPageBreak/>
              <w:t>атаки. Институцията постоянно е подложена на различни по вид и интензивност атаки, които изискват адекватна защита.</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Предвид гореизложеното, следва да се преразгледат предложенията за осигуряване на допълнителни средства по бюджета на Администрация на президента за 2024 г. </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Не се приема</w:t>
            </w:r>
          </w:p>
        </w:tc>
        <w:tc>
          <w:tcPr>
            <w:tcW w:w="1617" w:type="pct"/>
            <w:shd w:val="clear" w:color="auto" w:fill="auto"/>
          </w:tcPr>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p>
          <w:p w:rsidR="00DC7AD7" w:rsidRDefault="00DC7AD7" w:rsidP="00DC7AD7">
            <w:pPr>
              <w:spacing w:after="0" w:line="240" w:lineRule="auto"/>
              <w:jc w:val="both"/>
              <w:rPr>
                <w:rFonts w:ascii="Times New Roman" w:hAnsi="Times New Roman" w:cs="Times New Roman"/>
                <w:color w:val="000000"/>
              </w:rPr>
            </w:pPr>
            <w:r>
              <w:rPr>
                <w:rFonts w:ascii="Times New Roman" w:hAnsi="Times New Roman" w:cs="Times New Roman"/>
                <w:color w:val="000000"/>
              </w:rPr>
              <w:t>Предложеният размер на разходите по бюджета на Администрацията на президента е съобразен с възможностите на държавния бюджет за 2024 г., базиран на есенната макроикономическа прогноза на Министерството на финансите, на действащото законодателство, прилагане на възприетите политики и допускания от правителството за периода 2024-2026 г., отчетни данни и оценка на възможностите за реализиране на инвестиционните разходи в рамките на бюджетната година, предприетите оптимизиращи приходни и разходни мерки със съответните ефекти и предложения за законодателни промени.</w:t>
            </w:r>
          </w:p>
          <w:p w:rsidR="00DC7AD7" w:rsidRPr="0044086A" w:rsidRDefault="00DC7AD7" w:rsidP="00DC7AD7">
            <w:pPr>
              <w:spacing w:after="0" w:line="240" w:lineRule="auto"/>
              <w:jc w:val="both"/>
              <w:rPr>
                <w:rFonts w:ascii="Times New Roman" w:eastAsia="Times New Roman" w:hAnsi="Times New Roman" w:cs="Times New Roman"/>
                <w:sz w:val="20"/>
                <w:szCs w:val="20"/>
              </w:rPr>
            </w:pPr>
            <w:r>
              <w:rPr>
                <w:rFonts w:ascii="Times New Roman" w:hAnsi="Times New Roman" w:cs="Times New Roman"/>
                <w:color w:val="000000"/>
              </w:rPr>
              <w:lastRenderedPageBreak/>
              <w:t>В тази връзка и предвид ограниченото фискално пространство, предложенията за увеличения в разходната част не биха могли да бъдат удовлетворени.</w:t>
            </w:r>
          </w:p>
        </w:tc>
      </w:tr>
      <w:tr w:rsidR="00DC7AD7" w:rsidRPr="00F62685" w:rsidTr="00E9260B">
        <w:trPr>
          <w:trHeight w:val="161"/>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b/>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b/>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АДМИНИСТРАЦИЯ НА НАРОДНОТО СЪБРАНИЕ</w:t>
            </w:r>
          </w:p>
        </w:tc>
        <w:tc>
          <w:tcPr>
            <w:tcW w:w="1868" w:type="pct"/>
            <w:shd w:val="clear" w:color="auto" w:fill="auto"/>
          </w:tcPr>
          <w:p w:rsidR="00DC7AD7" w:rsidRPr="00F62685" w:rsidRDefault="00DC7AD7" w:rsidP="00097BFC">
            <w:pPr>
              <w:spacing w:before="120" w:after="60" w:line="240" w:lineRule="auto"/>
              <w:jc w:val="center"/>
              <w:rPr>
                <w:rFonts w:ascii="Times New Roman" w:eastAsia="Times New Roman" w:hAnsi="Times New Roman" w:cs="Times New Roman"/>
                <w:b/>
                <w:sz w:val="20"/>
                <w:szCs w:val="20"/>
                <w:u w:val="single"/>
              </w:rPr>
            </w:pPr>
            <w:r w:rsidRPr="00F62685">
              <w:rPr>
                <w:rFonts w:ascii="Times New Roman" w:eastAsia="Times New Roman" w:hAnsi="Times New Roman" w:cs="Times New Roman"/>
                <w:b/>
                <w:sz w:val="20"/>
                <w:szCs w:val="20"/>
                <w:u w:val="single"/>
              </w:rPr>
              <w:t>СЪГЛАСУВА БЕЗ БЕЛЕЖКИ</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b/>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ВИСШ СЪДЕБЕН СЪВЕТ</w:t>
            </w: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ВСС изпраща извлечение от Протокол № 40</w:t>
            </w:r>
            <w:r w:rsidRPr="00F62685">
              <w:rPr>
                <w:rFonts w:ascii="Times New Roman" w:eastAsia="Times New Roman" w:hAnsi="Times New Roman" w:cs="Times New Roman"/>
                <w:b/>
                <w:sz w:val="20"/>
                <w:szCs w:val="20"/>
              </w:rPr>
              <w:t xml:space="preserve"> </w:t>
            </w:r>
            <w:r>
              <w:rPr>
                <w:rFonts w:ascii="Times New Roman" w:eastAsia="Times New Roman" w:hAnsi="Times New Roman" w:cs="Times New Roman"/>
                <w:b/>
                <w:sz w:val="20"/>
                <w:szCs w:val="20"/>
              </w:rPr>
              <w:t>от 15.11.2023 г. на комисия „Бюджет и финанси“ на ВСС – приема за сведение становището на Министерството на финансите по проекта на Решение на министерския съвет за одобряване на законопроект за държавния бюджет на Република България за 2024 г. поради изтекъл срок за произнасяне.</w:t>
            </w:r>
          </w:p>
          <w:p w:rsidR="00DC7AD7" w:rsidRPr="00F62685" w:rsidRDefault="00DC7AD7" w:rsidP="00097BFC">
            <w:pPr>
              <w:spacing w:after="60" w:line="240" w:lineRule="auto"/>
              <w:jc w:val="center"/>
              <w:rPr>
                <w:rFonts w:ascii="Times New Roman" w:eastAsia="Times New Roman" w:hAnsi="Times New Roman" w:cs="Times New Roman"/>
                <w:sz w:val="20"/>
                <w:szCs w:val="20"/>
              </w:rPr>
            </w:pP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b/>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СМЕТНА ПАЛАТА</w:t>
            </w: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СП уведомява за следното във връзка със съгласуване на проект на Решение на Министерския съвет за одобряване на законопроект за държавния бюджет на Република България за 2024 г. и материалите към него:</w:t>
            </w:r>
          </w:p>
          <w:p w:rsidR="00DC7AD7" w:rsidRPr="00F62685" w:rsidRDefault="00DC7AD7" w:rsidP="00097BFC">
            <w:pPr>
              <w:spacing w:after="60" w:line="240" w:lineRule="auto"/>
              <w:jc w:val="both"/>
              <w:rPr>
                <w:rFonts w:ascii="Times New Roman" w:eastAsia="Times New Roman" w:hAnsi="Times New Roman" w:cs="Times New Roman"/>
                <w:sz w:val="20"/>
                <w:szCs w:val="20"/>
              </w:rPr>
            </w:pPr>
          </w:p>
          <w:p w:rsidR="00DC7AD7" w:rsidRPr="008B5BEA" w:rsidRDefault="00DC7AD7" w:rsidP="00097BFC">
            <w:pPr>
              <w:spacing w:after="60" w:line="240" w:lineRule="auto"/>
              <w:jc w:val="both"/>
              <w:rPr>
                <w:rFonts w:ascii="Times New Roman" w:eastAsia="Times New Roman" w:hAnsi="Times New Roman" w:cs="Times New Roman"/>
                <w:b/>
                <w:sz w:val="20"/>
                <w:szCs w:val="20"/>
              </w:rPr>
            </w:pPr>
            <w:r w:rsidRPr="008B5BEA">
              <w:rPr>
                <w:rFonts w:ascii="Times New Roman" w:eastAsia="Times New Roman" w:hAnsi="Times New Roman" w:cs="Times New Roman"/>
                <w:b/>
                <w:sz w:val="20"/>
                <w:szCs w:val="20"/>
              </w:rPr>
              <w:t>Предлага да бъдат предвидени допълнителни разходи за увеличение на:</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Pr="00F62685">
              <w:rPr>
                <w:rFonts w:ascii="Times New Roman" w:eastAsia="Times New Roman" w:hAnsi="Times New Roman" w:cs="Times New Roman"/>
                <w:sz w:val="20"/>
                <w:szCs w:val="20"/>
              </w:rPr>
              <w:t xml:space="preserve"> заплатите на служителите и за осигурителни вноски за сметка на работодател - 2 411 000 лв.;</w:t>
            </w:r>
          </w:p>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 xml:space="preserve">Не се приема </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Default="00DC7AD7" w:rsidP="00DC7AD7">
            <w:pPr>
              <w:pStyle w:val="ListParagraph"/>
              <w:spacing w:after="0" w:line="240" w:lineRule="auto"/>
              <w:jc w:val="both"/>
              <w:rPr>
                <w:rFonts w:ascii="Times New Roman" w:eastAsia="Times New Roman" w:hAnsi="Times New Roman" w:cs="Times New Roman"/>
                <w:sz w:val="20"/>
                <w:szCs w:val="20"/>
              </w:rPr>
            </w:pPr>
          </w:p>
          <w:p w:rsidR="00DC7AD7" w:rsidRDefault="00DC7AD7" w:rsidP="00DC7AD7">
            <w:pPr>
              <w:pStyle w:val="ListParagraph"/>
              <w:spacing w:after="0" w:line="240" w:lineRule="auto"/>
              <w:jc w:val="both"/>
              <w:rPr>
                <w:rFonts w:ascii="Times New Roman" w:eastAsia="Times New Roman" w:hAnsi="Times New Roman" w:cs="Times New Roman"/>
                <w:sz w:val="20"/>
                <w:szCs w:val="20"/>
              </w:rPr>
            </w:pPr>
          </w:p>
          <w:p w:rsidR="00DC7AD7" w:rsidRDefault="00DC7AD7" w:rsidP="00DC7AD7">
            <w:pPr>
              <w:pStyle w:val="ListParagraph"/>
              <w:spacing w:after="0" w:line="240" w:lineRule="auto"/>
              <w:jc w:val="both"/>
              <w:rPr>
                <w:rFonts w:ascii="Times New Roman" w:eastAsia="Times New Roman" w:hAnsi="Times New Roman" w:cs="Times New Roman"/>
                <w:sz w:val="20"/>
                <w:szCs w:val="20"/>
              </w:rPr>
            </w:pPr>
          </w:p>
          <w:p w:rsidR="00DC7AD7" w:rsidRDefault="00DC7AD7" w:rsidP="00DC7AD7">
            <w:pPr>
              <w:pStyle w:val="ListParagraph"/>
              <w:spacing w:after="0" w:line="240" w:lineRule="auto"/>
              <w:jc w:val="both"/>
              <w:rPr>
                <w:rFonts w:ascii="Times New Roman" w:eastAsia="Times New Roman" w:hAnsi="Times New Roman" w:cs="Times New Roman"/>
                <w:sz w:val="20"/>
                <w:szCs w:val="20"/>
              </w:rPr>
            </w:pPr>
          </w:p>
          <w:p w:rsidR="00DC7AD7" w:rsidRDefault="00DC7AD7" w:rsidP="00DC7AD7">
            <w:pPr>
              <w:pStyle w:val="ListParagraph"/>
              <w:spacing w:after="0" w:line="240" w:lineRule="auto"/>
              <w:jc w:val="both"/>
              <w:rPr>
                <w:rFonts w:ascii="Times New Roman" w:eastAsia="Times New Roman" w:hAnsi="Times New Roman" w:cs="Times New Roman"/>
                <w:sz w:val="20"/>
                <w:szCs w:val="20"/>
              </w:rPr>
            </w:pPr>
          </w:p>
          <w:p w:rsidR="00DC7AD7" w:rsidRPr="00256B03" w:rsidRDefault="00DC7AD7" w:rsidP="00BB7FC5">
            <w:pPr>
              <w:spacing w:after="0" w:line="240" w:lineRule="auto"/>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 </w:t>
            </w:r>
            <w:r w:rsidRPr="004553A9">
              <w:rPr>
                <w:rFonts w:ascii="Times New Roman" w:eastAsia="Times New Roman" w:hAnsi="Times New Roman" w:cs="Times New Roman"/>
                <w:sz w:val="20"/>
                <w:szCs w:val="20"/>
              </w:rPr>
              <w:t>С проектът на ЗДБРБ за 2024 г. са предвидени средства за преодоляване на диспропорции във възнагражденията на персонала в бюджетните организации с оглед изглаждане на наблюдавани значителни дисбаланси/неравенства в нивото на заплащане в различни административни звена и структури в секторите, предоставящи публични услуги.</w:t>
            </w:r>
          </w:p>
        </w:tc>
      </w:tr>
      <w:tr w:rsidR="00DC7AD7" w:rsidRPr="00F62685" w:rsidTr="002E1338">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Pr="00F62685">
              <w:rPr>
                <w:rFonts w:ascii="Times New Roman" w:eastAsia="Times New Roman" w:hAnsi="Times New Roman" w:cs="Times New Roman"/>
                <w:sz w:val="20"/>
                <w:szCs w:val="20"/>
              </w:rPr>
              <w:t xml:space="preserve"> показател „Издръжка и други текущи разходи“ - 974 000 лв., поради което не съгласува представения проект на бюджет на СП за 2024 г., </w:t>
            </w:r>
            <w:proofErr w:type="spellStart"/>
            <w:r w:rsidRPr="00F62685">
              <w:rPr>
                <w:rFonts w:ascii="Times New Roman" w:eastAsia="Times New Roman" w:hAnsi="Times New Roman" w:cs="Times New Roman"/>
                <w:sz w:val="20"/>
                <w:szCs w:val="20"/>
              </w:rPr>
              <w:t>относим</w:t>
            </w:r>
            <w:proofErr w:type="spellEnd"/>
            <w:r w:rsidRPr="00F62685">
              <w:rPr>
                <w:rFonts w:ascii="Times New Roman" w:eastAsia="Times New Roman" w:hAnsi="Times New Roman" w:cs="Times New Roman"/>
                <w:sz w:val="20"/>
                <w:szCs w:val="20"/>
              </w:rPr>
              <w:t xml:space="preserve"> към дейността на СП.</w:t>
            </w:r>
          </w:p>
          <w:p w:rsidR="00DC7AD7" w:rsidRPr="00F62685" w:rsidRDefault="00DC7AD7"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Мотиви:</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Нивото на възнагражденията в СП беше задържано повече от 10 години до общата актуализация за публичния сектор през 2019-2021 г. През 2021-2022 г. инфлацията направи изоставането на заплатите значително и критично за дейността.</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Наблюдава се огромно текучество на одитния състав, като:</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lastRenderedPageBreak/>
              <w:t>- през периода 2016-2017 г. са напуснали и пенсионирани 119 одитори;</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през периода 2018-2022 г. са напуснали и пенсионирани 207 одитори.</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В годините от 2009 г. до 2023 г. динамиката на заплатите в СП е както следва:</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От 2010 г. до 2018 г. няма увеличение на заплатите на служителите на СП, а само през 2019 г., 2020 г. и 2021 г., с РМС, заплатите са увеличени с по 10 на сто.</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От 01.07.2023 г. заплатите са увеличени, в резултат на което началните основни месечни заплати в Сметната палата по длъжности са следните:</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 директор в одитна дейност и администрацията – 2 200 лв.;</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 главен одитор – 1 408 лв.;</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 старши одитор – 1 238 лв.;</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 одитор – 1 155 лв.;</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 стажант-одитор – 1 100 лв.</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Предоставянето на допълнителните средства за персонала ще намали различията в заплащането в сравнение с организации, с които СП се конкурира за персонал. Младите хора не проявяват интерес при финансовите условия, които се предлагат от СП, поради факта че в други административни структури заплащането е по-високо.</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През последните шест години не е променян показател „Издръжка и други текущи разходи“. Поддържането на добро качество на одитите изисква високо равнище на технологичното и методологичното осигуряване на одитния процес с оптимална финансова обезпеченост, в т. ч. за:</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осигуряване на сигурна, надеждна среда за ресурси за информационни и комуникационни технологии; лицензни такси и поддръжка на специализирани одитни софтуери;</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обучения с цел поддържането и повишаването на професионалната квалификация на одиторите и други;</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командировки за изпълнение на програмата за одитната дейност за 2024 г., във връзка с двукратно увеличените дневни и квартирни размери, съгласно Наредбата за командировките в страната;</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текущ ремонт за изнесените работни места на СП;</w:t>
            </w:r>
          </w:p>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sz w:val="20"/>
                <w:szCs w:val="20"/>
              </w:rPr>
              <w:t xml:space="preserve">- консултантски услуги във връзка с потребността от външни консултанти за нови и по-задълбочени анализи при </w:t>
            </w:r>
            <w:r w:rsidRPr="00F62685">
              <w:rPr>
                <w:rFonts w:ascii="Times New Roman" w:eastAsia="Times New Roman" w:hAnsi="Times New Roman" w:cs="Times New Roman"/>
                <w:sz w:val="20"/>
                <w:szCs w:val="20"/>
              </w:rPr>
              <w:lastRenderedPageBreak/>
              <w:t>осъществяване на одитната дейност и обобщаване на резултатите от нея и за провеждане на социологически проучвания</w:t>
            </w:r>
            <w:r>
              <w:rPr>
                <w:rFonts w:ascii="Times New Roman" w:eastAsia="Times New Roman" w:hAnsi="Times New Roman" w:cs="Times New Roman"/>
                <w:sz w:val="20"/>
                <w:szCs w:val="20"/>
              </w:rPr>
              <w:t>.</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 xml:space="preserve">Приема се </w:t>
            </w:r>
          </w:p>
        </w:tc>
        <w:tc>
          <w:tcPr>
            <w:tcW w:w="1617" w:type="pct"/>
            <w:shd w:val="clear" w:color="auto" w:fill="auto"/>
          </w:tcPr>
          <w:p w:rsidR="00DC7AD7" w:rsidRPr="004553A9" w:rsidRDefault="00DC7AD7" w:rsidP="00DC7AD7">
            <w:pPr>
              <w:spacing w:after="0" w:line="240" w:lineRule="auto"/>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 </w:t>
            </w:r>
            <w:r w:rsidRPr="004553A9">
              <w:rPr>
                <w:rFonts w:ascii="Times New Roman" w:eastAsia="Times New Roman" w:hAnsi="Times New Roman" w:cs="Times New Roman"/>
                <w:sz w:val="20"/>
                <w:szCs w:val="20"/>
              </w:rPr>
              <w:t xml:space="preserve">Отразено в чл. 4 на </w:t>
            </w:r>
            <w:r>
              <w:rPr>
                <w:rFonts w:ascii="Times New Roman" w:eastAsia="Times New Roman" w:hAnsi="Times New Roman" w:cs="Times New Roman"/>
                <w:sz w:val="20"/>
                <w:szCs w:val="20"/>
              </w:rPr>
              <w:t>п</w:t>
            </w:r>
            <w:r w:rsidRPr="004553A9">
              <w:rPr>
                <w:rFonts w:ascii="Times New Roman" w:eastAsia="Times New Roman" w:hAnsi="Times New Roman" w:cs="Times New Roman"/>
                <w:sz w:val="20"/>
                <w:szCs w:val="20"/>
              </w:rPr>
              <w:t>роекта на Закон за държавния бюджет на Република България за 2024 г.</w:t>
            </w:r>
          </w:p>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b/>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КОНСТИТУЦИОНEН СЪД</w:t>
            </w:r>
          </w:p>
        </w:tc>
        <w:tc>
          <w:tcPr>
            <w:tcW w:w="1868" w:type="pct"/>
            <w:shd w:val="clear" w:color="auto" w:fill="auto"/>
          </w:tcPr>
          <w:p w:rsidR="00DC7AD7" w:rsidRPr="00F62685" w:rsidRDefault="00DC7AD7" w:rsidP="00097BFC">
            <w:pPr>
              <w:spacing w:before="120" w:after="60" w:line="240" w:lineRule="auto"/>
              <w:jc w:val="center"/>
              <w:rPr>
                <w:rFonts w:ascii="Times New Roman" w:eastAsia="Times New Roman" w:hAnsi="Times New Roman" w:cs="Times New Roman"/>
                <w:b/>
                <w:sz w:val="20"/>
                <w:szCs w:val="20"/>
                <w:u w:val="single"/>
              </w:rPr>
            </w:pPr>
            <w:r w:rsidRPr="00F62685">
              <w:rPr>
                <w:rFonts w:ascii="Times New Roman" w:eastAsia="Times New Roman" w:hAnsi="Times New Roman" w:cs="Times New Roman"/>
                <w:b/>
                <w:sz w:val="20"/>
                <w:szCs w:val="20"/>
                <w:u w:val="single"/>
              </w:rPr>
              <w:t>СЪГЛАСУВА БЕЗ БЕЛЕЖКИ</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9260B">
        <w:trPr>
          <w:trHeight w:val="161"/>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b/>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ОМБУДСМАН</w:t>
            </w:r>
          </w:p>
        </w:tc>
        <w:tc>
          <w:tcPr>
            <w:tcW w:w="1868" w:type="pct"/>
            <w:shd w:val="clear" w:color="auto" w:fill="auto"/>
          </w:tcPr>
          <w:p w:rsidR="00DC7AD7" w:rsidRPr="00F62685" w:rsidRDefault="00DC7AD7" w:rsidP="00097BFC">
            <w:pPr>
              <w:spacing w:before="120" w:after="60" w:line="240" w:lineRule="auto"/>
              <w:jc w:val="center"/>
              <w:rPr>
                <w:rFonts w:ascii="Times New Roman" w:eastAsia="Times New Roman" w:hAnsi="Times New Roman" w:cs="Times New Roman"/>
                <w:b/>
                <w:sz w:val="20"/>
                <w:szCs w:val="20"/>
                <w:u w:val="single"/>
              </w:rPr>
            </w:pPr>
            <w:r w:rsidRPr="00F62685">
              <w:rPr>
                <w:rFonts w:ascii="Times New Roman" w:eastAsia="Times New Roman" w:hAnsi="Times New Roman" w:cs="Times New Roman"/>
                <w:b/>
                <w:sz w:val="20"/>
                <w:szCs w:val="20"/>
                <w:u w:val="single"/>
              </w:rPr>
              <w:t>СЪГЛАСУВА БЕЗ БЕЛЕЖКИ</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p>
        </w:tc>
        <w:tc>
          <w:tcPr>
            <w:tcW w:w="1868" w:type="pct"/>
            <w:shd w:val="clear" w:color="auto" w:fill="auto"/>
          </w:tcPr>
          <w:p w:rsidR="00DC7AD7" w:rsidRPr="001A49F3" w:rsidRDefault="00DC7AD7" w:rsidP="00097BFC">
            <w:pPr>
              <w:spacing w:after="60" w:line="240" w:lineRule="auto"/>
              <w:jc w:val="both"/>
              <w:rPr>
                <w:rFonts w:ascii="Times New Roman" w:eastAsia="Times New Roman" w:hAnsi="Times New Roman" w:cs="Times New Roman"/>
                <w:b/>
                <w:sz w:val="20"/>
                <w:szCs w:val="20"/>
              </w:rPr>
            </w:pP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ГЛАВEН СЕКРЕТАР НА МИНИСТЕРСКИЯ СЪВЕТ</w:t>
            </w:r>
          </w:p>
        </w:tc>
        <w:tc>
          <w:tcPr>
            <w:tcW w:w="1868" w:type="pct"/>
            <w:shd w:val="clear" w:color="auto" w:fill="auto"/>
          </w:tcPr>
          <w:p w:rsidR="00DC7AD7" w:rsidRPr="001A49F3" w:rsidRDefault="00DC7AD7" w:rsidP="00097BFC">
            <w:pPr>
              <w:spacing w:after="60" w:line="240" w:lineRule="auto"/>
              <w:jc w:val="both"/>
              <w:rPr>
                <w:rFonts w:ascii="Times New Roman" w:eastAsia="Times New Roman" w:hAnsi="Times New Roman" w:cs="Times New Roman"/>
                <w:b/>
                <w:sz w:val="20"/>
                <w:szCs w:val="20"/>
              </w:rPr>
            </w:pPr>
            <w:r w:rsidRPr="001A49F3">
              <w:rPr>
                <w:rFonts w:ascii="Times New Roman" w:eastAsia="Times New Roman" w:hAnsi="Times New Roman" w:cs="Times New Roman"/>
                <w:b/>
                <w:sz w:val="20"/>
                <w:szCs w:val="20"/>
              </w:rPr>
              <w:t>Администрацията на Министерския съвет съгласува законопроекта за държавния бюджет на Република България за 2024 г. и материалите към него, със следните бележки и предложения:</w:t>
            </w:r>
          </w:p>
          <w:p w:rsidR="00DC7AD7" w:rsidRDefault="00DC7AD7" w:rsidP="00097BFC">
            <w:pPr>
              <w:spacing w:after="60" w:line="240" w:lineRule="auto"/>
              <w:jc w:val="both"/>
              <w:rPr>
                <w:rFonts w:ascii="Times New Roman" w:eastAsia="Times New Roman" w:hAnsi="Times New Roman" w:cs="Times New Roman"/>
                <w:sz w:val="20"/>
                <w:szCs w:val="20"/>
              </w:rPr>
            </w:pPr>
          </w:p>
          <w:p w:rsidR="00DC7AD7" w:rsidRPr="00FC767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b/>
                <w:sz w:val="20"/>
                <w:szCs w:val="20"/>
              </w:rPr>
              <w:t>I</w:t>
            </w:r>
            <w:r>
              <w:rPr>
                <w:rFonts w:ascii="Times New Roman" w:eastAsia="Times New Roman" w:hAnsi="Times New Roman" w:cs="Times New Roman"/>
                <w:b/>
                <w:sz w:val="20"/>
                <w:szCs w:val="20"/>
              </w:rPr>
              <w:t xml:space="preserve">. </w:t>
            </w:r>
            <w:r w:rsidRPr="00FC7675">
              <w:rPr>
                <w:rFonts w:ascii="Times New Roman" w:eastAsia="Times New Roman" w:hAnsi="Times New Roman" w:cs="Times New Roman"/>
                <w:sz w:val="20"/>
                <w:szCs w:val="20"/>
              </w:rPr>
              <w:t>1. Предлагаме в чл. 1, ал. 5, т.9.1. да бъде посочено изрично, че предвидената сума е предназначена за преодоляването на диспропорции във възнагражденията на персонала в администрации на изпълнителната власт, които прилагат Класификатора на длъжностите в администрацията, приет с Постановление № 129 на Министерския съвет от 26.06.2012 г. Смятаме, за необходимо да бъде посочено изрично, че това може да стане с еднократно определяне на нови размери на индивидуални основни месечни заплати на служители в съответните администрации.</w:t>
            </w:r>
          </w:p>
          <w:p w:rsidR="00DC7AD7" w:rsidRPr="00FC7675" w:rsidRDefault="00DC7AD7" w:rsidP="00097BFC">
            <w:pPr>
              <w:spacing w:after="60" w:line="240" w:lineRule="auto"/>
              <w:jc w:val="both"/>
              <w:rPr>
                <w:rFonts w:ascii="Times New Roman" w:eastAsia="Times New Roman" w:hAnsi="Times New Roman" w:cs="Times New Roman"/>
                <w:sz w:val="20"/>
                <w:szCs w:val="20"/>
              </w:rPr>
            </w:pPr>
            <w:r w:rsidRPr="00FC7675">
              <w:rPr>
                <w:rFonts w:ascii="Times New Roman" w:eastAsia="Times New Roman" w:hAnsi="Times New Roman" w:cs="Times New Roman"/>
                <w:sz w:val="20"/>
                <w:szCs w:val="20"/>
              </w:rPr>
              <w:t>Предлагаме проект на разпоредба на чл. 1, ал. 5, т. 9.1.:</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C7675">
              <w:rPr>
                <w:rFonts w:ascii="Times New Roman" w:eastAsia="Times New Roman" w:hAnsi="Times New Roman" w:cs="Times New Roman"/>
                <w:sz w:val="20"/>
                <w:szCs w:val="20"/>
              </w:rPr>
              <w:t xml:space="preserve">„За преодоляване на диспропорции във възнагражденията на </w:t>
            </w:r>
            <w:r w:rsidRPr="00E86675">
              <w:rPr>
                <w:rFonts w:ascii="Times New Roman" w:eastAsia="Times New Roman" w:hAnsi="Times New Roman" w:cs="Times New Roman"/>
                <w:sz w:val="20"/>
                <w:szCs w:val="20"/>
              </w:rPr>
              <w:t>персонала в администрации на изпълнителната власт, които прилагат Класификатора на длъжностите в администрацията, приет с Постановление № 129 на Министерския съвет от 26.06.2012 г. чрез еднократно</w:t>
            </w:r>
            <w:r w:rsidRPr="00FC7675">
              <w:rPr>
                <w:rFonts w:ascii="Times New Roman" w:eastAsia="Times New Roman" w:hAnsi="Times New Roman" w:cs="Times New Roman"/>
                <w:sz w:val="20"/>
                <w:szCs w:val="20"/>
              </w:rPr>
              <w:t xml:space="preserve"> определяне на нови размери на възнагражденията по начин и критерии, определени с акт на Министерския съвет, в т.ч.:“</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 xml:space="preserve">1. Приема се </w:t>
            </w:r>
            <w:r w:rsidR="00C16A5E" w:rsidRPr="00657A5B">
              <w:rPr>
                <w:rFonts w:ascii="Times New Roman" w:eastAsia="Times New Roman" w:hAnsi="Times New Roman" w:cs="Times New Roman"/>
                <w:b/>
                <w:sz w:val="20"/>
                <w:szCs w:val="20"/>
              </w:rPr>
              <w:t>частично</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tc>
        <w:tc>
          <w:tcPr>
            <w:tcW w:w="1617" w:type="pct"/>
            <w:shd w:val="clear" w:color="auto" w:fill="auto"/>
          </w:tcPr>
          <w:p w:rsidR="00DC7AD7" w:rsidRPr="00BB39DD" w:rsidRDefault="00DC7AD7" w:rsidP="00DC7AD7">
            <w:pPr>
              <w:spacing w:after="0" w:line="240" w:lineRule="auto"/>
              <w:jc w:val="both"/>
              <w:rPr>
                <w:rFonts w:ascii="Times New Roman" w:eastAsia="Times New Roman" w:hAnsi="Times New Roman" w:cs="Times New Roman"/>
                <w:sz w:val="20"/>
                <w:szCs w:val="20"/>
              </w:rPr>
            </w:pPr>
          </w:p>
          <w:p w:rsidR="00DC7AD7" w:rsidRPr="00BB39DD" w:rsidRDefault="00DC7AD7" w:rsidP="00DC7AD7">
            <w:pPr>
              <w:spacing w:after="0" w:line="240" w:lineRule="auto"/>
              <w:jc w:val="both"/>
              <w:rPr>
                <w:rFonts w:ascii="Times New Roman" w:eastAsia="Times New Roman" w:hAnsi="Times New Roman" w:cs="Times New Roman"/>
                <w:sz w:val="20"/>
                <w:szCs w:val="20"/>
              </w:rPr>
            </w:pPr>
          </w:p>
          <w:p w:rsidR="00DC7AD7" w:rsidRPr="00BB39DD" w:rsidRDefault="00DC7AD7" w:rsidP="00DC7AD7">
            <w:pPr>
              <w:spacing w:after="0" w:line="240" w:lineRule="auto"/>
              <w:jc w:val="both"/>
              <w:rPr>
                <w:rFonts w:ascii="Times New Roman" w:eastAsia="Times New Roman" w:hAnsi="Times New Roman" w:cs="Times New Roman"/>
                <w:sz w:val="20"/>
                <w:szCs w:val="20"/>
              </w:rPr>
            </w:pPr>
          </w:p>
          <w:p w:rsidR="00DC7AD7" w:rsidRPr="00BB39DD" w:rsidRDefault="00DC7AD7" w:rsidP="00DC7AD7">
            <w:pPr>
              <w:spacing w:after="0" w:line="240" w:lineRule="auto"/>
              <w:jc w:val="both"/>
              <w:rPr>
                <w:rFonts w:ascii="Times New Roman" w:eastAsia="Times New Roman" w:hAnsi="Times New Roman" w:cs="Times New Roman"/>
                <w:sz w:val="20"/>
                <w:szCs w:val="20"/>
              </w:rPr>
            </w:pPr>
          </w:p>
          <w:p w:rsidR="00DC7AD7" w:rsidRPr="00BB39DD" w:rsidRDefault="00DC7AD7" w:rsidP="00DC7AD7">
            <w:pPr>
              <w:spacing w:after="0" w:line="240" w:lineRule="auto"/>
              <w:jc w:val="both"/>
              <w:rPr>
                <w:rFonts w:ascii="Times New Roman" w:eastAsia="Times New Roman" w:hAnsi="Times New Roman" w:cs="Times New Roman"/>
                <w:sz w:val="20"/>
                <w:szCs w:val="20"/>
              </w:rPr>
            </w:pPr>
          </w:p>
          <w:p w:rsidR="00DC7AD7" w:rsidRPr="00BB39DD" w:rsidRDefault="00C16A5E" w:rsidP="00DC7AD7">
            <w:pPr>
              <w:rPr>
                <w:rFonts w:ascii="Times New Roman" w:hAnsi="Times New Roman" w:cs="Times New Roman"/>
                <w:color w:val="000000"/>
                <w:sz w:val="20"/>
                <w:szCs w:val="20"/>
              </w:rPr>
            </w:pPr>
            <w:r w:rsidRPr="00BB39DD">
              <w:rPr>
                <w:rFonts w:ascii="Times New Roman" w:eastAsia="Times New Roman" w:hAnsi="Times New Roman" w:cs="Times New Roman"/>
                <w:sz w:val="20"/>
                <w:szCs w:val="20"/>
              </w:rPr>
              <w:t>Предложена е нова редакция на чл. 1, ал. 5</w:t>
            </w:r>
            <w:r>
              <w:rPr>
                <w:rFonts w:ascii="Times New Roman" w:eastAsia="Times New Roman" w:hAnsi="Times New Roman" w:cs="Times New Roman"/>
                <w:sz w:val="20"/>
                <w:szCs w:val="20"/>
              </w:rPr>
              <w:t xml:space="preserve"> от законопроекта.</w:t>
            </w:r>
          </w:p>
        </w:tc>
      </w:tr>
      <w:tr w:rsidR="00DC7AD7" w:rsidRPr="00F62685" w:rsidTr="00174FD8">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C7675" w:rsidRDefault="00DC7AD7" w:rsidP="00097BFC">
            <w:pPr>
              <w:spacing w:after="60" w:line="240" w:lineRule="auto"/>
              <w:jc w:val="both"/>
              <w:rPr>
                <w:rFonts w:ascii="Times New Roman" w:eastAsia="Times New Roman" w:hAnsi="Times New Roman" w:cs="Times New Roman"/>
                <w:sz w:val="20"/>
                <w:szCs w:val="20"/>
              </w:rPr>
            </w:pPr>
            <w:r w:rsidRPr="00FC7675">
              <w:rPr>
                <w:rFonts w:ascii="Times New Roman" w:eastAsia="Times New Roman" w:hAnsi="Times New Roman" w:cs="Times New Roman"/>
                <w:sz w:val="20"/>
                <w:szCs w:val="20"/>
              </w:rPr>
              <w:t>2. Предлагаме на систематичното място да бъде предвидена норма, която указва, че начинът и критериите за разпределение на сумата по т. 9.1. се определят с акт на Министерския съвет, издаден до 31 март 2024 г.</w:t>
            </w:r>
          </w:p>
          <w:p w:rsidR="00DC7AD7" w:rsidRPr="00FC7675" w:rsidRDefault="00DC7AD7" w:rsidP="00097BFC">
            <w:pPr>
              <w:spacing w:after="60" w:line="240" w:lineRule="auto"/>
              <w:jc w:val="both"/>
              <w:rPr>
                <w:rFonts w:ascii="Times New Roman" w:eastAsia="Times New Roman" w:hAnsi="Times New Roman" w:cs="Times New Roman"/>
                <w:sz w:val="20"/>
                <w:szCs w:val="20"/>
              </w:rPr>
            </w:pPr>
            <w:r w:rsidRPr="00FC7675">
              <w:rPr>
                <w:rFonts w:ascii="Times New Roman" w:eastAsia="Times New Roman" w:hAnsi="Times New Roman" w:cs="Times New Roman"/>
                <w:sz w:val="20"/>
                <w:szCs w:val="20"/>
              </w:rPr>
              <w:t>Предлагаме проект на разпоредба:</w:t>
            </w:r>
          </w:p>
          <w:p w:rsidR="00DC7AD7" w:rsidRDefault="00DC7AD7" w:rsidP="00097BFC">
            <w:pPr>
              <w:spacing w:after="60" w:line="240" w:lineRule="auto"/>
              <w:jc w:val="both"/>
              <w:rPr>
                <w:rFonts w:ascii="Times New Roman" w:eastAsia="Times New Roman" w:hAnsi="Times New Roman" w:cs="Times New Roman"/>
                <w:sz w:val="20"/>
                <w:szCs w:val="20"/>
              </w:rPr>
            </w:pPr>
            <w:r w:rsidRPr="00FC7675">
              <w:rPr>
                <w:rFonts w:ascii="Times New Roman" w:eastAsia="Times New Roman" w:hAnsi="Times New Roman" w:cs="Times New Roman"/>
                <w:sz w:val="20"/>
                <w:szCs w:val="20"/>
              </w:rPr>
              <w:lastRenderedPageBreak/>
              <w:t>„В срок до 31 март 2024 г. Министерският съвет определя начинът и критериите за разпределение на сумата по т. 9.1.“.</w:t>
            </w:r>
          </w:p>
          <w:p w:rsidR="00DC7AD7" w:rsidRPr="00FC767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2. Приема се по принцип</w:t>
            </w:r>
          </w:p>
        </w:tc>
        <w:tc>
          <w:tcPr>
            <w:tcW w:w="1617" w:type="pct"/>
            <w:shd w:val="clear" w:color="auto" w:fill="auto"/>
          </w:tcPr>
          <w:p w:rsidR="00DC7AD7" w:rsidRPr="00BB39DD" w:rsidRDefault="00DC7AD7" w:rsidP="00DC7AD7">
            <w:pPr>
              <w:spacing w:after="0" w:line="240" w:lineRule="auto"/>
              <w:jc w:val="both"/>
              <w:rPr>
                <w:rFonts w:ascii="Times New Roman" w:eastAsia="Times New Roman" w:hAnsi="Times New Roman" w:cs="Times New Roman"/>
                <w:sz w:val="20"/>
                <w:szCs w:val="20"/>
              </w:rPr>
            </w:pPr>
            <w:r w:rsidRPr="00BB39DD">
              <w:rPr>
                <w:rFonts w:ascii="Times New Roman" w:eastAsia="Times New Roman" w:hAnsi="Times New Roman" w:cs="Times New Roman"/>
                <w:sz w:val="20"/>
                <w:szCs w:val="20"/>
              </w:rPr>
              <w:t>2. Създава се ал. 7 в чл. 1, както следва:</w:t>
            </w:r>
          </w:p>
          <w:p w:rsidR="00C16A5E" w:rsidRPr="00BB39DD" w:rsidRDefault="00C16A5E" w:rsidP="00C16A5E">
            <w:pPr>
              <w:spacing w:after="0" w:line="240" w:lineRule="auto"/>
              <w:jc w:val="both"/>
              <w:rPr>
                <w:rFonts w:ascii="Times New Roman" w:eastAsia="Times New Roman" w:hAnsi="Times New Roman" w:cs="Times New Roman"/>
                <w:sz w:val="20"/>
                <w:szCs w:val="20"/>
              </w:rPr>
            </w:pPr>
            <w:r w:rsidRPr="00BB39DD">
              <w:rPr>
                <w:rFonts w:ascii="Times New Roman" w:eastAsia="Times New Roman" w:hAnsi="Times New Roman" w:cs="Times New Roman"/>
                <w:sz w:val="20"/>
                <w:szCs w:val="20"/>
              </w:rPr>
              <w:t xml:space="preserve">„(7) Министерският съвет приема акта по ал. 5, т. </w:t>
            </w:r>
            <w:r>
              <w:rPr>
                <w:rFonts w:ascii="Times New Roman" w:eastAsia="Times New Roman" w:hAnsi="Times New Roman" w:cs="Times New Roman"/>
                <w:sz w:val="20"/>
                <w:szCs w:val="20"/>
              </w:rPr>
              <w:t>8</w:t>
            </w:r>
            <w:r w:rsidRPr="00BB39DD">
              <w:rPr>
                <w:rFonts w:ascii="Times New Roman" w:eastAsia="Times New Roman" w:hAnsi="Times New Roman" w:cs="Times New Roman"/>
                <w:sz w:val="20"/>
                <w:szCs w:val="20"/>
              </w:rPr>
              <w:t>.1. в срок до 31 март 2024 г.“.</w:t>
            </w:r>
          </w:p>
          <w:p w:rsidR="00DC7AD7" w:rsidRPr="00BB39DD" w:rsidRDefault="00DC7AD7" w:rsidP="00DC7AD7">
            <w:pPr>
              <w:spacing w:line="240" w:lineRule="auto"/>
              <w:jc w:val="both"/>
              <w:rPr>
                <w:rFonts w:ascii="Times New Roman" w:eastAsia="Times New Roman" w:hAnsi="Times New Roman" w:cs="Times New Roman"/>
                <w:sz w:val="20"/>
                <w:szCs w:val="20"/>
              </w:rPr>
            </w:pPr>
          </w:p>
        </w:tc>
      </w:tr>
      <w:tr w:rsidR="00DC7AD7" w:rsidRPr="00F62685" w:rsidTr="00174FD8">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C7675" w:rsidRDefault="00DC7AD7" w:rsidP="00097BFC">
            <w:pPr>
              <w:spacing w:after="60" w:line="240" w:lineRule="auto"/>
              <w:jc w:val="both"/>
              <w:rPr>
                <w:rFonts w:ascii="Times New Roman" w:eastAsia="Times New Roman" w:hAnsi="Times New Roman" w:cs="Times New Roman"/>
                <w:sz w:val="20"/>
                <w:szCs w:val="20"/>
              </w:rPr>
            </w:pPr>
            <w:r w:rsidRPr="00FC7675">
              <w:rPr>
                <w:rFonts w:ascii="Times New Roman" w:eastAsia="Times New Roman" w:hAnsi="Times New Roman" w:cs="Times New Roman"/>
                <w:sz w:val="20"/>
                <w:szCs w:val="20"/>
              </w:rPr>
              <w:t>3. Предлагаме на систематичното място да бъде предвидена норма, която указва, че новите размери на индивидуални основни месечни заплати по чл. 1, ал. 5, т. 9.1. се определят считано от 01 януари 2024 г.</w:t>
            </w:r>
          </w:p>
          <w:p w:rsidR="00DC7AD7" w:rsidRPr="00FC7675" w:rsidRDefault="00DC7AD7" w:rsidP="00097BFC">
            <w:pPr>
              <w:spacing w:after="60" w:line="240" w:lineRule="auto"/>
              <w:jc w:val="both"/>
              <w:rPr>
                <w:rFonts w:ascii="Times New Roman" w:eastAsia="Times New Roman" w:hAnsi="Times New Roman" w:cs="Times New Roman"/>
                <w:sz w:val="20"/>
                <w:szCs w:val="20"/>
              </w:rPr>
            </w:pPr>
            <w:r w:rsidRPr="00FC7675">
              <w:rPr>
                <w:rFonts w:ascii="Times New Roman" w:eastAsia="Times New Roman" w:hAnsi="Times New Roman" w:cs="Times New Roman"/>
                <w:sz w:val="20"/>
                <w:szCs w:val="20"/>
              </w:rPr>
              <w:t>Предлагаме проект на разпоредба:</w:t>
            </w:r>
          </w:p>
          <w:p w:rsidR="00DC7AD7" w:rsidRPr="00FC7675" w:rsidRDefault="00DC7AD7" w:rsidP="00097BFC">
            <w:pPr>
              <w:spacing w:after="60" w:line="240" w:lineRule="auto"/>
              <w:jc w:val="both"/>
              <w:rPr>
                <w:rFonts w:ascii="Times New Roman" w:eastAsia="Times New Roman" w:hAnsi="Times New Roman" w:cs="Times New Roman"/>
                <w:sz w:val="20"/>
                <w:szCs w:val="20"/>
              </w:rPr>
            </w:pPr>
            <w:r w:rsidRPr="00FC7675">
              <w:rPr>
                <w:rFonts w:ascii="Times New Roman" w:eastAsia="Times New Roman" w:hAnsi="Times New Roman" w:cs="Times New Roman"/>
                <w:sz w:val="20"/>
                <w:szCs w:val="20"/>
              </w:rPr>
              <w:t>„Новите размери на индивидуални основни месечни заплати по чл. 1, ал. 5, т. 9.1. се определят считано от 01 януари 2024 г.“</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3. Приема се по принцип</w:t>
            </w:r>
          </w:p>
        </w:tc>
        <w:tc>
          <w:tcPr>
            <w:tcW w:w="1617" w:type="pct"/>
            <w:shd w:val="clear" w:color="auto" w:fill="auto"/>
          </w:tcPr>
          <w:p w:rsidR="00DC7AD7" w:rsidRPr="00BB39DD" w:rsidRDefault="00DC7AD7" w:rsidP="00DC7AD7">
            <w:pPr>
              <w:spacing w:after="0" w:line="240" w:lineRule="auto"/>
              <w:jc w:val="both"/>
              <w:rPr>
                <w:rFonts w:ascii="Times New Roman" w:eastAsia="Times New Roman" w:hAnsi="Times New Roman" w:cs="Times New Roman"/>
                <w:sz w:val="20"/>
                <w:szCs w:val="20"/>
              </w:rPr>
            </w:pPr>
            <w:r w:rsidRPr="00BB39DD">
              <w:rPr>
                <w:rFonts w:ascii="Times New Roman" w:eastAsia="Times New Roman" w:hAnsi="Times New Roman" w:cs="Times New Roman"/>
                <w:sz w:val="20"/>
                <w:szCs w:val="20"/>
              </w:rPr>
              <w:t>3. Създава се ал. 8 в чл. 1, както следва:</w:t>
            </w:r>
          </w:p>
          <w:p w:rsidR="00C16A5E" w:rsidRPr="00BB39DD" w:rsidRDefault="00C16A5E" w:rsidP="00C16A5E">
            <w:pPr>
              <w:spacing w:after="0" w:line="240" w:lineRule="auto"/>
              <w:jc w:val="both"/>
              <w:rPr>
                <w:rFonts w:ascii="Times New Roman" w:eastAsia="Times New Roman" w:hAnsi="Times New Roman" w:cs="Times New Roman"/>
                <w:sz w:val="20"/>
                <w:szCs w:val="20"/>
              </w:rPr>
            </w:pPr>
            <w:r w:rsidRPr="00BB39DD">
              <w:rPr>
                <w:rFonts w:ascii="Times New Roman" w:eastAsia="Times New Roman" w:hAnsi="Times New Roman" w:cs="Times New Roman"/>
                <w:sz w:val="20"/>
                <w:szCs w:val="20"/>
              </w:rPr>
              <w:t xml:space="preserve">„(8) Новите размери на индивидуални основни месечни заплати по чл. 1, ал. 5, т. </w:t>
            </w:r>
            <w:r>
              <w:rPr>
                <w:rFonts w:ascii="Times New Roman" w:eastAsia="Times New Roman" w:hAnsi="Times New Roman" w:cs="Times New Roman"/>
                <w:sz w:val="20"/>
                <w:szCs w:val="20"/>
              </w:rPr>
              <w:t>8</w:t>
            </w:r>
            <w:r w:rsidRPr="00BB39DD">
              <w:rPr>
                <w:rFonts w:ascii="Times New Roman" w:eastAsia="Times New Roman" w:hAnsi="Times New Roman" w:cs="Times New Roman"/>
                <w:sz w:val="20"/>
                <w:szCs w:val="20"/>
              </w:rPr>
              <w:t>.1 се определят считано от 1 януари 2024 г.“</w:t>
            </w:r>
          </w:p>
          <w:p w:rsidR="00DC7AD7" w:rsidRPr="00BB39DD" w:rsidRDefault="00DC7AD7" w:rsidP="00DC7AD7">
            <w:pPr>
              <w:spacing w:after="0" w:line="240" w:lineRule="auto"/>
              <w:jc w:val="both"/>
              <w:rPr>
                <w:rFonts w:ascii="Times New Roman" w:eastAsia="Times New Roman" w:hAnsi="Times New Roman" w:cs="Times New Roman"/>
                <w:sz w:val="20"/>
                <w:szCs w:val="20"/>
              </w:rPr>
            </w:pPr>
          </w:p>
          <w:p w:rsidR="00DC7AD7" w:rsidRPr="00BB39DD" w:rsidRDefault="00DC7AD7" w:rsidP="00DC7AD7">
            <w:pPr>
              <w:spacing w:after="0" w:line="240" w:lineRule="auto"/>
              <w:jc w:val="both"/>
              <w:rPr>
                <w:rFonts w:ascii="Times New Roman" w:eastAsia="Times New Roman" w:hAnsi="Times New Roman" w:cs="Times New Roman"/>
                <w:sz w:val="20"/>
                <w:szCs w:val="20"/>
              </w:rPr>
            </w:pPr>
          </w:p>
          <w:p w:rsidR="00DC7AD7" w:rsidRPr="00BB39DD" w:rsidRDefault="00DC7AD7" w:rsidP="00DC7AD7">
            <w:pPr>
              <w:spacing w:line="240" w:lineRule="auto"/>
              <w:jc w:val="both"/>
              <w:rPr>
                <w:rFonts w:ascii="Times New Roman" w:eastAsia="Times New Roman" w:hAnsi="Times New Roman" w:cs="Times New Roman"/>
                <w:sz w:val="20"/>
                <w:szCs w:val="20"/>
              </w:rPr>
            </w:pPr>
          </w:p>
        </w:tc>
      </w:tr>
      <w:tr w:rsidR="00DC7AD7" w:rsidRPr="00F62685" w:rsidTr="00174FD8">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C7675" w:rsidRDefault="00DC7AD7" w:rsidP="00097BFC">
            <w:pPr>
              <w:spacing w:after="60" w:line="240" w:lineRule="auto"/>
              <w:jc w:val="both"/>
              <w:rPr>
                <w:rFonts w:ascii="Times New Roman" w:eastAsia="Times New Roman" w:hAnsi="Times New Roman" w:cs="Times New Roman"/>
                <w:sz w:val="20"/>
                <w:szCs w:val="20"/>
              </w:rPr>
            </w:pPr>
            <w:r w:rsidRPr="00FC7675">
              <w:rPr>
                <w:rFonts w:ascii="Times New Roman" w:eastAsia="Times New Roman" w:hAnsi="Times New Roman" w:cs="Times New Roman"/>
                <w:sz w:val="20"/>
                <w:szCs w:val="20"/>
              </w:rPr>
              <w:t>4. Предлагаме на систематичното място да бъде предвидена норма, която указва, че в случай, че има увеличаване на основните възнаграждения на служителите на основание чл. 78 от законопроекта, то това да бъде извършено след определянето на новите размери на индивидуалните основни месечни заплати по чл. 1, ал. 5, т. 9.1.</w:t>
            </w:r>
          </w:p>
          <w:p w:rsidR="00DC7AD7" w:rsidRPr="00FC7675" w:rsidRDefault="00DC7AD7" w:rsidP="00097BFC">
            <w:pPr>
              <w:spacing w:after="60" w:line="240" w:lineRule="auto"/>
              <w:jc w:val="both"/>
              <w:rPr>
                <w:rFonts w:ascii="Times New Roman" w:eastAsia="Times New Roman" w:hAnsi="Times New Roman" w:cs="Times New Roman"/>
                <w:sz w:val="20"/>
                <w:szCs w:val="20"/>
              </w:rPr>
            </w:pPr>
            <w:r w:rsidRPr="00FC7675">
              <w:rPr>
                <w:rFonts w:ascii="Times New Roman" w:eastAsia="Times New Roman" w:hAnsi="Times New Roman" w:cs="Times New Roman"/>
                <w:sz w:val="20"/>
                <w:szCs w:val="20"/>
              </w:rPr>
              <w:t>Предлагаме проект на разпоредба:</w:t>
            </w:r>
          </w:p>
          <w:p w:rsidR="00DC7AD7" w:rsidRPr="00FC7675" w:rsidRDefault="00DC7AD7" w:rsidP="00097BFC">
            <w:pPr>
              <w:spacing w:after="60" w:line="240" w:lineRule="auto"/>
              <w:jc w:val="both"/>
              <w:rPr>
                <w:rFonts w:ascii="Times New Roman" w:eastAsia="Times New Roman" w:hAnsi="Times New Roman" w:cs="Times New Roman"/>
                <w:sz w:val="20"/>
                <w:szCs w:val="20"/>
              </w:rPr>
            </w:pPr>
            <w:r w:rsidRPr="00FC7675">
              <w:rPr>
                <w:rFonts w:ascii="Times New Roman" w:eastAsia="Times New Roman" w:hAnsi="Times New Roman" w:cs="Times New Roman"/>
                <w:sz w:val="20"/>
                <w:szCs w:val="20"/>
              </w:rPr>
              <w:t>„Увеличаване на основните възнаграждения на служителите по реда на чл. 78 се извършва след издаването на акта на Министерския съвет по чл. 1, ал. 5, т. 9.1. и след определянето на съответните нови размери на индивидуалните основни месечни заплати по ч</w:t>
            </w:r>
            <w:bookmarkStart w:id="9" w:name="_GoBack"/>
            <w:bookmarkEnd w:id="9"/>
            <w:r w:rsidRPr="00FC7675">
              <w:rPr>
                <w:rFonts w:ascii="Times New Roman" w:eastAsia="Times New Roman" w:hAnsi="Times New Roman" w:cs="Times New Roman"/>
                <w:sz w:val="20"/>
                <w:szCs w:val="20"/>
              </w:rPr>
              <w:t>л. 1, ал. 5, т. 9.1.“.</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4. Не се приема</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 Не се приема, тъй като сама по себе си разпоредбата не регламентира увеличаване на основните възнаграждения на служителите, а урежда увеличения на разходи за персонал на ниво ПРБ, в т.ч. и определените изключения с ал. 5 на същия.</w:t>
            </w:r>
          </w:p>
          <w:p w:rsidR="00DC7AD7" w:rsidRDefault="00DC7AD7" w:rsidP="00DC7AD7">
            <w:pPr>
              <w:spacing w:line="240" w:lineRule="auto"/>
              <w:jc w:val="both"/>
              <w:rPr>
                <w:rFonts w:ascii="Times New Roman" w:eastAsia="Times New Roman" w:hAnsi="Times New Roman" w:cs="Times New Roman"/>
                <w:sz w:val="20"/>
                <w:szCs w:val="20"/>
              </w:rPr>
            </w:pPr>
          </w:p>
        </w:tc>
      </w:tr>
      <w:tr w:rsidR="00DC7AD7" w:rsidRPr="00F62685" w:rsidTr="00174FD8">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C7675" w:rsidRDefault="00DC7AD7" w:rsidP="00097BFC">
            <w:pPr>
              <w:spacing w:after="60" w:line="240" w:lineRule="auto"/>
              <w:jc w:val="both"/>
              <w:rPr>
                <w:rFonts w:ascii="Times New Roman" w:eastAsia="Times New Roman" w:hAnsi="Times New Roman" w:cs="Times New Roman"/>
                <w:sz w:val="20"/>
                <w:szCs w:val="20"/>
              </w:rPr>
            </w:pPr>
            <w:r w:rsidRPr="00FC7675">
              <w:rPr>
                <w:rFonts w:ascii="Times New Roman" w:eastAsia="Times New Roman" w:hAnsi="Times New Roman" w:cs="Times New Roman"/>
                <w:sz w:val="20"/>
                <w:szCs w:val="20"/>
              </w:rPr>
              <w:t>5. В случай, че се предвиждат изключения, сред администрациите, които прилагат Класификатора на длъжностите в администрацията, приет с Постановление № 129 на Министерския съвет от 26.06.2012 г. и съответно за служители в тях няма да бъдат определяни на новите размери на индивидуалните основни месечни заплати, съгласно чл. 1, ал. 5, т. 9.1., това следва да бъде отбелязано изрично на съответното систематично място.</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Приема се по принцип</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BB39DD" w:rsidRDefault="00C16A5E" w:rsidP="00DC7AD7">
            <w:pPr>
              <w:spacing w:line="240" w:lineRule="auto"/>
              <w:jc w:val="both"/>
              <w:rPr>
                <w:rFonts w:ascii="Times New Roman" w:eastAsia="Times New Roman" w:hAnsi="Times New Roman" w:cs="Times New Roman"/>
                <w:sz w:val="20"/>
                <w:szCs w:val="20"/>
              </w:rPr>
            </w:pPr>
            <w:r w:rsidRPr="00BB39DD">
              <w:rPr>
                <w:rFonts w:ascii="Times New Roman" w:eastAsia="Times New Roman" w:hAnsi="Times New Roman" w:cs="Times New Roman"/>
                <w:sz w:val="20"/>
                <w:szCs w:val="20"/>
              </w:rPr>
              <w:t xml:space="preserve">5. Отразено е в предложението по чл. 1, ал. 5, т. </w:t>
            </w:r>
            <w:r>
              <w:rPr>
                <w:rFonts w:ascii="Times New Roman" w:eastAsia="Times New Roman" w:hAnsi="Times New Roman" w:cs="Times New Roman"/>
                <w:sz w:val="20"/>
                <w:szCs w:val="20"/>
              </w:rPr>
              <w:t>8</w:t>
            </w:r>
            <w:r w:rsidRPr="00BB39DD">
              <w:rPr>
                <w:rFonts w:ascii="Times New Roman" w:eastAsia="Times New Roman" w:hAnsi="Times New Roman" w:cs="Times New Roman"/>
                <w:sz w:val="20"/>
                <w:szCs w:val="20"/>
              </w:rPr>
              <w:t>.1</w:t>
            </w:r>
            <w:r>
              <w:rPr>
                <w:rFonts w:ascii="Times New Roman" w:eastAsia="Times New Roman" w:hAnsi="Times New Roman" w:cs="Times New Roman"/>
                <w:sz w:val="20"/>
                <w:szCs w:val="20"/>
              </w:rPr>
              <w:t>.</w:t>
            </w:r>
          </w:p>
        </w:tc>
      </w:tr>
      <w:tr w:rsidR="00DC7AD7" w:rsidRPr="00F62685" w:rsidTr="00174FD8">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Default="00DC7AD7" w:rsidP="00097BFC">
            <w:pPr>
              <w:spacing w:after="60" w:line="240" w:lineRule="auto"/>
              <w:jc w:val="both"/>
              <w:rPr>
                <w:rFonts w:ascii="Times New Roman" w:eastAsia="Times New Roman" w:hAnsi="Times New Roman" w:cs="Times New Roman"/>
                <w:sz w:val="20"/>
                <w:szCs w:val="20"/>
              </w:rPr>
            </w:pPr>
            <w:r w:rsidRPr="00FC7675">
              <w:rPr>
                <w:rFonts w:ascii="Times New Roman" w:eastAsia="Times New Roman" w:hAnsi="Times New Roman" w:cs="Times New Roman"/>
                <w:sz w:val="20"/>
                <w:szCs w:val="20"/>
              </w:rPr>
              <w:t>6. В случай, че бъде преценено за целесъобразно, предлагаме да бъде предвидена норма, която указва, че при увеличение на индивидуалните основни месечни по реда на чл. 78 и при определяне на съответните нови размери на индивидуалните основни месечни заплати по чл. 1, ал. 5, т. 9.1. не може да бъдат надхвърлени максималните размери на основните месечни заплати от четвърта степен съгласно Приложение № 1 към чл. 3, ал. 2 от Наредбата за заплатите на служителите в държавната администрация, приета с Постановление № 129 на Министерския съвет от 26.06.2012 г.</w:t>
            </w:r>
          </w:p>
          <w:p w:rsidR="00DC7AD7" w:rsidRPr="00FC767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6. Не се приема</w:t>
            </w:r>
          </w:p>
        </w:tc>
        <w:tc>
          <w:tcPr>
            <w:tcW w:w="1617" w:type="pct"/>
            <w:shd w:val="clear" w:color="auto" w:fill="auto"/>
          </w:tcPr>
          <w:p w:rsidR="00DC7AD7" w:rsidRPr="00BB39DD" w:rsidRDefault="00DC7AD7" w:rsidP="00DC7AD7">
            <w:pPr>
              <w:spacing w:after="0" w:line="240" w:lineRule="auto"/>
              <w:jc w:val="both"/>
              <w:rPr>
                <w:rFonts w:ascii="Times New Roman" w:eastAsia="Times New Roman" w:hAnsi="Times New Roman" w:cs="Times New Roman"/>
                <w:sz w:val="20"/>
                <w:szCs w:val="20"/>
              </w:rPr>
            </w:pPr>
            <w:r w:rsidRPr="00BB39DD">
              <w:rPr>
                <w:rFonts w:ascii="Times New Roman" w:eastAsia="Times New Roman" w:hAnsi="Times New Roman" w:cs="Times New Roman"/>
                <w:sz w:val="20"/>
                <w:szCs w:val="20"/>
              </w:rPr>
              <w:t xml:space="preserve">6. </w:t>
            </w:r>
            <w:r w:rsidR="004B439D">
              <w:rPr>
                <w:rFonts w:ascii="Times New Roman" w:eastAsia="Times New Roman" w:hAnsi="Times New Roman" w:cs="Times New Roman"/>
                <w:sz w:val="20"/>
                <w:szCs w:val="20"/>
              </w:rPr>
              <w:t>Прилага се действащата наредба</w:t>
            </w:r>
          </w:p>
          <w:p w:rsidR="00DC7AD7" w:rsidRPr="00BB39DD" w:rsidRDefault="00DC7AD7" w:rsidP="00DC7AD7">
            <w:pPr>
              <w:spacing w:line="240" w:lineRule="auto"/>
              <w:jc w:val="both"/>
              <w:rPr>
                <w:rFonts w:ascii="Times New Roman" w:eastAsia="Times New Roman" w:hAnsi="Times New Roman" w:cs="Times New Roman"/>
                <w:sz w:val="20"/>
                <w:szCs w:val="20"/>
              </w:rPr>
            </w:pPr>
          </w:p>
        </w:tc>
      </w:tr>
      <w:tr w:rsidR="00DC7AD7" w:rsidRPr="00F62685" w:rsidTr="00174FD8">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C7675">
              <w:rPr>
                <w:rFonts w:ascii="Times New Roman" w:eastAsia="Times New Roman" w:hAnsi="Times New Roman" w:cs="Times New Roman"/>
                <w:sz w:val="20"/>
                <w:szCs w:val="20"/>
              </w:rPr>
              <w:t>7. Обръщаме внимание, че не става ясно каква е добавената стойност на текста в края на чл. 78, ал. 2 „включително в случаите по чл. 1 ал. 5“. Разпоредбата на чл. 78, от законопроекта възпроизвежда дословно чл. 77 от Закона за държавния бюджет на Република България за 2023 г. с изключение на този текст.</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7. Не се приема</w:t>
            </w:r>
          </w:p>
        </w:tc>
        <w:tc>
          <w:tcPr>
            <w:tcW w:w="1617" w:type="pct"/>
            <w:shd w:val="clear" w:color="auto" w:fill="auto"/>
          </w:tcPr>
          <w:p w:rsidR="00DC7AD7" w:rsidRPr="00BB39DD" w:rsidRDefault="00DC7AD7" w:rsidP="00DC7AD7">
            <w:pPr>
              <w:spacing w:line="240" w:lineRule="auto"/>
              <w:jc w:val="both"/>
              <w:rPr>
                <w:rFonts w:ascii="Times New Roman" w:hAnsi="Times New Roman" w:cs="Times New Roman"/>
                <w:color w:val="000000"/>
                <w:sz w:val="20"/>
                <w:szCs w:val="20"/>
              </w:rPr>
            </w:pPr>
            <w:r w:rsidRPr="00BB39DD">
              <w:rPr>
                <w:rFonts w:ascii="Times New Roman" w:eastAsia="Times New Roman" w:hAnsi="Times New Roman" w:cs="Times New Roman"/>
                <w:sz w:val="20"/>
                <w:szCs w:val="20"/>
              </w:rPr>
              <w:t>7. Добавеният текст дава възможност, разходите за персонал да бъдат увеличавани в случаите по чл.1, ал.5, а именно за политиката за преодоляване на диспропорциите във възнагражденията.</w:t>
            </w:r>
          </w:p>
        </w:tc>
      </w:tr>
      <w:tr w:rsidR="00DC7AD7" w:rsidRPr="00F62685" w:rsidTr="00174FD8">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C7675" w:rsidRDefault="00DC7AD7" w:rsidP="00097BFC">
            <w:pPr>
              <w:spacing w:after="60" w:line="240" w:lineRule="auto"/>
              <w:jc w:val="both"/>
              <w:rPr>
                <w:rFonts w:ascii="Times New Roman" w:eastAsia="Times New Roman" w:hAnsi="Times New Roman" w:cs="Times New Roman"/>
                <w:sz w:val="20"/>
                <w:szCs w:val="20"/>
              </w:rPr>
            </w:pPr>
            <w:r w:rsidRPr="00FC7675">
              <w:rPr>
                <w:rFonts w:ascii="Times New Roman" w:eastAsia="Times New Roman" w:hAnsi="Times New Roman" w:cs="Times New Roman"/>
                <w:sz w:val="20"/>
                <w:szCs w:val="20"/>
              </w:rPr>
              <w:t>8. С цел прецизност предлагаме следната редакция на чл.78, ал.3, като промяната е в частта, свързана с прилагането на Наредбата за заплатите на служителите в държавната администрация без да се променя вложения смисъл:</w:t>
            </w:r>
          </w:p>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C7675">
              <w:rPr>
                <w:rFonts w:ascii="Times New Roman" w:eastAsia="Times New Roman" w:hAnsi="Times New Roman" w:cs="Times New Roman"/>
                <w:sz w:val="20"/>
                <w:szCs w:val="20"/>
              </w:rPr>
              <w:t>„(3) При намаляване числеността на персонала, извън случаите на извеждане на дейности от бюджетно на друго финансиране и случаите на намаляване на персонала вследствие на преминаване на функции и персонал към друга бюджетна организация, икономиите от разходите за персонал може да се използват за увеличение на индивидуалните основни месечни заплати съобразно оценката на изпълнението, по условията и реда на наредбата по чл. 67, ал. 3 от Закона за държавния служител и чл. 107а, ал. 10 от Кодекса на труда, включително и извън сроковете, определени в нея.“.</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8. Приема се</w:t>
            </w:r>
          </w:p>
        </w:tc>
        <w:tc>
          <w:tcPr>
            <w:tcW w:w="1617" w:type="pct"/>
            <w:shd w:val="clear" w:color="auto" w:fill="auto"/>
          </w:tcPr>
          <w:p w:rsidR="00DC7AD7" w:rsidRPr="00BB39DD" w:rsidRDefault="00DC7AD7" w:rsidP="00DC7AD7">
            <w:pPr>
              <w:spacing w:after="0" w:line="240" w:lineRule="auto"/>
              <w:jc w:val="both"/>
              <w:rPr>
                <w:rFonts w:ascii="Times New Roman" w:eastAsia="Times New Roman" w:hAnsi="Times New Roman" w:cs="Times New Roman"/>
                <w:sz w:val="20"/>
                <w:szCs w:val="20"/>
              </w:rPr>
            </w:pPr>
            <w:r w:rsidRPr="00BB39DD">
              <w:rPr>
                <w:rFonts w:ascii="Times New Roman" w:eastAsia="Times New Roman" w:hAnsi="Times New Roman" w:cs="Times New Roman"/>
                <w:sz w:val="20"/>
                <w:szCs w:val="20"/>
              </w:rPr>
              <w:t xml:space="preserve">8. Отразено е в законопроекта. </w:t>
            </w:r>
          </w:p>
          <w:p w:rsidR="00DC7AD7" w:rsidRPr="00BB39DD" w:rsidRDefault="00DC7AD7" w:rsidP="00DC7AD7">
            <w:pPr>
              <w:spacing w:line="240" w:lineRule="auto"/>
              <w:jc w:val="both"/>
              <w:rPr>
                <w:rFonts w:ascii="Times New Roman" w:hAnsi="Times New Roman" w:cs="Times New Roman"/>
                <w:color w:val="000000"/>
                <w:sz w:val="20"/>
                <w:szCs w:val="20"/>
              </w:rPr>
            </w:pPr>
          </w:p>
        </w:tc>
      </w:tr>
      <w:tr w:rsidR="00DC7AD7" w:rsidRPr="00F62685" w:rsidTr="00174FD8">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23685A"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b/>
                <w:sz w:val="20"/>
                <w:szCs w:val="20"/>
              </w:rPr>
              <w:t>II</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 xml:space="preserve">1. </w:t>
            </w:r>
            <w:r w:rsidRPr="0023685A">
              <w:rPr>
                <w:rFonts w:ascii="Times New Roman" w:eastAsia="Times New Roman" w:hAnsi="Times New Roman" w:cs="Times New Roman"/>
                <w:sz w:val="20"/>
                <w:szCs w:val="20"/>
              </w:rPr>
              <w:t>В законопроекта за държавния бюджет на Република България за 2024 г. приходите по бюджета на Министерския съвет да се предвидят в размер и разпределение съгласно предложението, изпратено с писмо № 04.01-255/07.11.2023 г., на база заявената събираемост от второстепенните разпоредители с бюджет по бюджета на Министерския съвет;</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Приема се</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AA3CBA" w:rsidRDefault="00DC7AD7" w:rsidP="00DC7AD7">
            <w:pPr>
              <w:spacing w:line="240" w:lineRule="auto"/>
              <w:jc w:val="both"/>
              <w:rPr>
                <w:rFonts w:ascii="Times New Roman" w:hAnsi="Times New Roman" w:cs="Times New Roman"/>
                <w:color w:val="000000"/>
                <w:sz w:val="20"/>
                <w:szCs w:val="20"/>
              </w:rPr>
            </w:pPr>
            <w:r>
              <w:rPr>
                <w:rFonts w:ascii="Times New Roman" w:eastAsia="Times New Roman" w:hAnsi="Times New Roman" w:cs="Times New Roman"/>
                <w:sz w:val="20"/>
                <w:szCs w:val="20"/>
              </w:rPr>
              <w:t>О</w:t>
            </w:r>
            <w:r w:rsidRPr="00DB6110">
              <w:rPr>
                <w:rFonts w:ascii="Times New Roman" w:eastAsia="Times New Roman" w:hAnsi="Times New Roman" w:cs="Times New Roman"/>
                <w:sz w:val="20"/>
                <w:szCs w:val="20"/>
              </w:rPr>
              <w:t>тразен</w:t>
            </w:r>
            <w:r>
              <w:rPr>
                <w:rFonts w:ascii="Times New Roman" w:eastAsia="Times New Roman" w:hAnsi="Times New Roman" w:cs="Times New Roman"/>
                <w:sz w:val="20"/>
                <w:szCs w:val="20"/>
              </w:rPr>
              <w:t>о е</w:t>
            </w:r>
            <w:r w:rsidRPr="00DB6110">
              <w:rPr>
                <w:rFonts w:ascii="Times New Roman" w:eastAsia="Times New Roman" w:hAnsi="Times New Roman" w:cs="Times New Roman"/>
                <w:sz w:val="20"/>
                <w:szCs w:val="20"/>
              </w:rPr>
              <w:t xml:space="preserve"> в чл. 6 на проекта на ЗДБРБ за 2024 г.</w:t>
            </w:r>
          </w:p>
        </w:tc>
      </w:tr>
      <w:tr w:rsidR="00DC7AD7" w:rsidRPr="00F62685" w:rsidTr="00174FD8">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Default="00DC7AD7" w:rsidP="00097BFC">
            <w:pPr>
              <w:spacing w:after="60" w:line="240" w:lineRule="auto"/>
              <w:jc w:val="both"/>
              <w:rPr>
                <w:rFonts w:ascii="Times New Roman" w:eastAsia="Times New Roman" w:hAnsi="Times New Roman" w:cs="Times New Roman"/>
                <w:sz w:val="20"/>
                <w:szCs w:val="20"/>
              </w:rPr>
            </w:pPr>
            <w:r w:rsidRPr="0023685A">
              <w:rPr>
                <w:rFonts w:ascii="Times New Roman" w:eastAsia="Times New Roman" w:hAnsi="Times New Roman" w:cs="Times New Roman"/>
                <w:sz w:val="20"/>
                <w:szCs w:val="20"/>
              </w:rPr>
              <w:t>2.</w:t>
            </w:r>
            <w:r>
              <w:rPr>
                <w:rFonts w:ascii="Times New Roman" w:eastAsia="Times New Roman" w:hAnsi="Times New Roman" w:cs="Times New Roman"/>
                <w:sz w:val="20"/>
                <w:szCs w:val="20"/>
              </w:rPr>
              <w:t xml:space="preserve"> </w:t>
            </w:r>
            <w:r w:rsidRPr="0023685A">
              <w:rPr>
                <w:rFonts w:ascii="Times New Roman" w:eastAsia="Times New Roman" w:hAnsi="Times New Roman" w:cs="Times New Roman"/>
                <w:sz w:val="20"/>
                <w:szCs w:val="20"/>
              </w:rPr>
              <w:t>Разходите да бъдат увеличени с 22 847 400 лв. за реализиране на обект „Аварийна реконструкция на филтърно и помпено стъпало на ПСПВ „Ясна поляна“ от областния управител на област Бургас.</w:t>
            </w:r>
          </w:p>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Не се приема</w:t>
            </w:r>
          </w:p>
        </w:tc>
        <w:tc>
          <w:tcPr>
            <w:tcW w:w="1617" w:type="pct"/>
            <w:shd w:val="clear" w:color="auto" w:fill="auto"/>
          </w:tcPr>
          <w:p w:rsidR="00DC7AD7" w:rsidRPr="00AA3CBA" w:rsidRDefault="00DC7AD7" w:rsidP="00DC7AD7">
            <w:pPr>
              <w:spacing w:line="240" w:lineRule="auto"/>
              <w:jc w:val="both"/>
              <w:rPr>
                <w:rFonts w:ascii="Times New Roman" w:hAnsi="Times New Roman" w:cs="Times New Roman"/>
                <w:color w:val="000000"/>
                <w:sz w:val="20"/>
                <w:szCs w:val="20"/>
              </w:rPr>
            </w:pPr>
            <w:r w:rsidRPr="00AA3CBA">
              <w:rPr>
                <w:rFonts w:ascii="Times New Roman" w:hAnsi="Times New Roman" w:cs="Times New Roman"/>
                <w:color w:val="000000"/>
                <w:sz w:val="20"/>
                <w:szCs w:val="20"/>
              </w:rPr>
              <w:t>Предложеният размер на разходите по бюджета на Министерския съвет е съобразен с възможностите на държавния бюджет за 2024 г., базиран на есенната макроикономическа прогноза на Министерството на финансите, на действащото законодателство, прилагане на възприетите политики и допускания от правителството за периода 2024-2026 г., отчетни данни и оценка на възможностите за реализиране на инвестиционните разходи в рамките на бюджетната година, предприетите оптимизиращи приходни и разходни мерки със съответните ефекти и предложения за законодателни промени.</w:t>
            </w:r>
          </w:p>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174FD8">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23685A" w:rsidRDefault="00DC7AD7" w:rsidP="00097BFC">
            <w:pPr>
              <w:spacing w:after="60" w:line="240" w:lineRule="auto"/>
              <w:jc w:val="both"/>
              <w:rPr>
                <w:rFonts w:ascii="Times New Roman" w:eastAsia="Times New Roman" w:hAnsi="Times New Roman" w:cs="Times New Roman"/>
                <w:sz w:val="20"/>
                <w:szCs w:val="20"/>
              </w:rPr>
            </w:pPr>
            <w:r w:rsidRPr="0023685A">
              <w:rPr>
                <w:rFonts w:ascii="Times New Roman" w:eastAsia="Times New Roman" w:hAnsi="Times New Roman" w:cs="Times New Roman"/>
                <w:sz w:val="20"/>
                <w:szCs w:val="20"/>
              </w:rPr>
              <w:t>3.</w:t>
            </w:r>
            <w:r>
              <w:rPr>
                <w:rFonts w:ascii="Times New Roman" w:eastAsia="Times New Roman" w:hAnsi="Times New Roman" w:cs="Times New Roman"/>
                <w:sz w:val="20"/>
                <w:szCs w:val="20"/>
              </w:rPr>
              <w:t xml:space="preserve"> </w:t>
            </w:r>
            <w:r w:rsidRPr="0023685A">
              <w:rPr>
                <w:rFonts w:ascii="Times New Roman" w:eastAsia="Times New Roman" w:hAnsi="Times New Roman" w:cs="Times New Roman"/>
                <w:sz w:val="20"/>
                <w:szCs w:val="20"/>
              </w:rPr>
              <w:t>Показателите по чл. 6, ал. 3 от Законопроекта за държавния бюджет на Република България за 2024 г. да се променят, както следва:</w:t>
            </w:r>
          </w:p>
          <w:p w:rsidR="00DC7AD7" w:rsidRPr="0023685A" w:rsidRDefault="00DC7AD7" w:rsidP="00097BFC">
            <w:pPr>
              <w:spacing w:after="60" w:line="240" w:lineRule="auto"/>
              <w:jc w:val="both"/>
              <w:rPr>
                <w:rFonts w:ascii="Times New Roman" w:eastAsia="Times New Roman" w:hAnsi="Times New Roman" w:cs="Times New Roman"/>
                <w:sz w:val="20"/>
                <w:szCs w:val="20"/>
              </w:rPr>
            </w:pPr>
            <w:r w:rsidRPr="0023685A">
              <w:rPr>
                <w:rFonts w:ascii="Times New Roman" w:eastAsia="Times New Roman" w:hAnsi="Times New Roman" w:cs="Times New Roman"/>
                <w:sz w:val="20"/>
                <w:szCs w:val="20"/>
              </w:rPr>
              <w:lastRenderedPageBreak/>
              <w:t>-</w:t>
            </w:r>
            <w:r>
              <w:rPr>
                <w:rFonts w:ascii="Times New Roman" w:eastAsia="Times New Roman" w:hAnsi="Times New Roman" w:cs="Times New Roman"/>
                <w:sz w:val="20"/>
                <w:szCs w:val="20"/>
              </w:rPr>
              <w:t xml:space="preserve"> </w:t>
            </w:r>
            <w:r w:rsidRPr="0023685A">
              <w:rPr>
                <w:rFonts w:ascii="Times New Roman" w:eastAsia="Times New Roman" w:hAnsi="Times New Roman" w:cs="Times New Roman"/>
                <w:sz w:val="20"/>
                <w:szCs w:val="20"/>
              </w:rPr>
              <w:t>Максимален размер на ангажиментите за разходи, които могат да бъдат поети през 2024 г. – 93 975 200 хил. лв.;</w:t>
            </w:r>
          </w:p>
          <w:p w:rsidR="00DC7AD7" w:rsidRPr="0023685A" w:rsidRDefault="00DC7AD7" w:rsidP="00097BFC">
            <w:pPr>
              <w:spacing w:after="60" w:line="240" w:lineRule="auto"/>
              <w:jc w:val="both"/>
              <w:rPr>
                <w:rFonts w:ascii="Times New Roman" w:eastAsia="Times New Roman" w:hAnsi="Times New Roman" w:cs="Times New Roman"/>
                <w:sz w:val="20"/>
                <w:szCs w:val="20"/>
              </w:rPr>
            </w:pPr>
            <w:r w:rsidRPr="0023685A">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r w:rsidRPr="0023685A">
              <w:rPr>
                <w:rFonts w:ascii="Times New Roman" w:eastAsia="Times New Roman" w:hAnsi="Times New Roman" w:cs="Times New Roman"/>
                <w:sz w:val="20"/>
                <w:szCs w:val="20"/>
              </w:rPr>
              <w:t xml:space="preserve">Максимален размер на новите задължения за разходи, които могат да бъдат </w:t>
            </w:r>
            <w:r w:rsidRPr="00185DFD">
              <w:rPr>
                <w:rFonts w:ascii="Times New Roman" w:eastAsia="Times New Roman" w:hAnsi="Times New Roman" w:cs="Times New Roman"/>
                <w:sz w:val="20"/>
                <w:szCs w:val="20"/>
              </w:rPr>
              <w:t>натрупани през 2023 г. – 11</w:t>
            </w:r>
            <w:r w:rsidRPr="0023685A">
              <w:rPr>
                <w:rFonts w:ascii="Times New Roman" w:eastAsia="Times New Roman" w:hAnsi="Times New Roman" w:cs="Times New Roman"/>
                <w:sz w:val="20"/>
                <w:szCs w:val="20"/>
              </w:rPr>
              <w:t>2 895 700 хил. лв.</w:t>
            </w:r>
          </w:p>
          <w:p w:rsidR="00DC7AD7" w:rsidRPr="0023685A" w:rsidRDefault="00DC7AD7" w:rsidP="00097BFC">
            <w:pPr>
              <w:spacing w:after="60" w:line="240" w:lineRule="auto"/>
              <w:jc w:val="both"/>
              <w:rPr>
                <w:rFonts w:ascii="Times New Roman" w:eastAsia="Times New Roman" w:hAnsi="Times New Roman" w:cs="Times New Roman"/>
                <w:sz w:val="20"/>
                <w:szCs w:val="20"/>
              </w:rPr>
            </w:pPr>
            <w:r w:rsidRPr="0023685A">
              <w:rPr>
                <w:rFonts w:ascii="Times New Roman" w:eastAsia="Times New Roman" w:hAnsi="Times New Roman" w:cs="Times New Roman"/>
                <w:sz w:val="20"/>
                <w:szCs w:val="20"/>
              </w:rPr>
              <w:t>Предложението е във връзка с:</w:t>
            </w:r>
          </w:p>
          <w:p w:rsidR="00DC7AD7" w:rsidRPr="0023685A" w:rsidRDefault="00DC7AD7" w:rsidP="00097BFC">
            <w:pPr>
              <w:spacing w:after="60" w:line="240" w:lineRule="auto"/>
              <w:jc w:val="both"/>
              <w:rPr>
                <w:rFonts w:ascii="Times New Roman" w:eastAsia="Times New Roman" w:hAnsi="Times New Roman" w:cs="Times New Roman"/>
                <w:sz w:val="20"/>
                <w:szCs w:val="20"/>
              </w:rPr>
            </w:pPr>
            <w:r w:rsidRPr="0023685A">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r w:rsidRPr="0023685A">
              <w:rPr>
                <w:rFonts w:ascii="Times New Roman" w:eastAsia="Times New Roman" w:hAnsi="Times New Roman" w:cs="Times New Roman"/>
                <w:sz w:val="20"/>
                <w:szCs w:val="20"/>
              </w:rPr>
              <w:t xml:space="preserve">подлежащите на реализиране договори с клаузи за акредитивна форма на разплащане от ОА Перник на стойност 18 631 841 лв. за 2024 г., във връзка с ПМС № 16/31.01.2020 г. за одобряване на допълнителни разходи по бюджета на Министерския съвет за 2020 г. за реконструкция и изграждане на ВиК обекти и съоръжения: Обследване, проектиране и изграждане на нова водопроводна връзка към гр. Перник; система за управление и баланс на водните количества в яз. "Студена"; спирателен кран с ел. </w:t>
            </w:r>
            <w:proofErr w:type="spellStart"/>
            <w:r w:rsidRPr="0023685A">
              <w:rPr>
                <w:rFonts w:ascii="Times New Roman" w:eastAsia="Times New Roman" w:hAnsi="Times New Roman" w:cs="Times New Roman"/>
                <w:sz w:val="20"/>
                <w:szCs w:val="20"/>
              </w:rPr>
              <w:t>задвижка</w:t>
            </w:r>
            <w:proofErr w:type="spellEnd"/>
            <w:r w:rsidRPr="0023685A">
              <w:rPr>
                <w:rFonts w:ascii="Times New Roman" w:eastAsia="Times New Roman" w:hAnsi="Times New Roman" w:cs="Times New Roman"/>
                <w:sz w:val="20"/>
                <w:szCs w:val="20"/>
              </w:rPr>
              <w:t xml:space="preserve"> за главен клон и спирателни кранове за градски резервоар "</w:t>
            </w:r>
            <w:proofErr w:type="spellStart"/>
            <w:r w:rsidRPr="0023685A">
              <w:rPr>
                <w:rFonts w:ascii="Times New Roman" w:eastAsia="Times New Roman" w:hAnsi="Times New Roman" w:cs="Times New Roman"/>
                <w:sz w:val="20"/>
                <w:szCs w:val="20"/>
              </w:rPr>
              <w:t>Могиличе</w:t>
            </w:r>
            <w:proofErr w:type="spellEnd"/>
            <w:r w:rsidRPr="0023685A">
              <w:rPr>
                <w:rFonts w:ascii="Times New Roman" w:eastAsia="Times New Roman" w:hAnsi="Times New Roman" w:cs="Times New Roman"/>
                <w:sz w:val="20"/>
                <w:szCs w:val="20"/>
              </w:rPr>
              <w:t xml:space="preserve">"  и от ОА Разград на стойност 257 310 лв. за 2024 г. за строително-монтажни работи по обект „Консервация, реставрация и адаптация на Ибрахим паша джамия, гр. Разград“; </w:t>
            </w:r>
          </w:p>
          <w:p w:rsidR="00DC7AD7" w:rsidRPr="0023685A" w:rsidRDefault="00DC7AD7" w:rsidP="00097BFC">
            <w:pPr>
              <w:spacing w:after="60" w:line="240" w:lineRule="auto"/>
              <w:jc w:val="both"/>
              <w:rPr>
                <w:rFonts w:ascii="Times New Roman" w:eastAsia="Times New Roman" w:hAnsi="Times New Roman" w:cs="Times New Roman"/>
                <w:sz w:val="20"/>
                <w:szCs w:val="20"/>
              </w:rPr>
            </w:pPr>
            <w:r w:rsidRPr="0023685A">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r w:rsidRPr="0023685A">
              <w:rPr>
                <w:rFonts w:ascii="Times New Roman" w:eastAsia="Times New Roman" w:hAnsi="Times New Roman" w:cs="Times New Roman"/>
                <w:sz w:val="20"/>
                <w:szCs w:val="20"/>
              </w:rPr>
              <w:t xml:space="preserve">В съответствие с разпоредбите на чл. 66 от ПМС № 108/09.08.2023 г. за изпълнението на държавния бюджет на Република България за 2023 г. е извършена промяна по бюджета на Министерския съвет за 2023 г., за което Министерство на финансите е уведомено с писмо наш № 06.00-454/10.10.2023 г. С Постановлението се одобряват допълнителни разходи в размер на 23 552 300 лв. по бюджета на Министерския съвет за 2023 г. за сметка на предвидените разходи по централния бюджет за 2023 г. в изпълнение на Решение № 134 на Министерския съвет от 21 февруари 2023 г. за одобряване на финансиране за реализиране на обект „Аварийна реконструкция на филтърно и помпено стъпало на ПСПВ „Ясна поляна“ и на обект „Временно укрепване на носещата конструкция на резервоара за питейна вода на ПСПВ на язовир „Ясна поляна“. Изпълнението на дейностите по реализиране на обекта се възлагат на областния управител на област Бургас. </w:t>
            </w:r>
          </w:p>
          <w:p w:rsidR="00DC7AD7" w:rsidRPr="0023685A" w:rsidRDefault="00DC7AD7" w:rsidP="00097BFC">
            <w:pPr>
              <w:spacing w:after="60" w:line="240" w:lineRule="auto"/>
              <w:jc w:val="both"/>
              <w:rPr>
                <w:rFonts w:ascii="Times New Roman" w:eastAsia="Times New Roman" w:hAnsi="Times New Roman" w:cs="Times New Roman"/>
                <w:sz w:val="20"/>
                <w:szCs w:val="20"/>
              </w:rPr>
            </w:pPr>
            <w:r w:rsidRPr="0023685A">
              <w:rPr>
                <w:rFonts w:ascii="Times New Roman" w:eastAsia="Times New Roman" w:hAnsi="Times New Roman" w:cs="Times New Roman"/>
                <w:sz w:val="20"/>
                <w:szCs w:val="20"/>
              </w:rPr>
              <w:t>Във връзка с обществената поръчка за обект „Временно укрепване на носещата конструкция на резервоара за питейна вода на ПСПВ на язовир „Ясна поляна“ цялата сума в размер на 689 520 лв. е изплатена.</w:t>
            </w:r>
          </w:p>
          <w:p w:rsidR="00DC7AD7" w:rsidRPr="0023685A" w:rsidRDefault="00DC7AD7" w:rsidP="00097BFC">
            <w:pPr>
              <w:spacing w:after="60" w:line="240" w:lineRule="auto"/>
              <w:jc w:val="both"/>
              <w:rPr>
                <w:rFonts w:ascii="Times New Roman" w:eastAsia="Times New Roman" w:hAnsi="Times New Roman" w:cs="Times New Roman"/>
                <w:sz w:val="20"/>
                <w:szCs w:val="20"/>
              </w:rPr>
            </w:pPr>
            <w:r w:rsidRPr="0023685A">
              <w:rPr>
                <w:rFonts w:ascii="Times New Roman" w:eastAsia="Times New Roman" w:hAnsi="Times New Roman" w:cs="Times New Roman"/>
                <w:sz w:val="20"/>
                <w:szCs w:val="20"/>
              </w:rPr>
              <w:t xml:space="preserve">Във връзка с обществена поръчка за СМР за обект „Аварийна реконструкция на филтърно и помпено стъпало на ПСПВ „Ясна поляна“ и във връзка с подготовка на комплексен доклад за оценка на съответствието на инвестиционния проект с </w:t>
            </w:r>
            <w:r w:rsidRPr="0023685A">
              <w:rPr>
                <w:rFonts w:ascii="Times New Roman" w:eastAsia="Times New Roman" w:hAnsi="Times New Roman" w:cs="Times New Roman"/>
                <w:sz w:val="20"/>
                <w:szCs w:val="20"/>
              </w:rPr>
              <w:lastRenderedPageBreak/>
              <w:t>изискванията към строежите е изплатена сума в размер на 11 880 лв. по сключен договор.</w:t>
            </w:r>
          </w:p>
          <w:p w:rsidR="00DC7AD7" w:rsidRPr="0023685A" w:rsidRDefault="00DC7AD7" w:rsidP="00097BFC">
            <w:pPr>
              <w:spacing w:after="60" w:line="240" w:lineRule="auto"/>
              <w:jc w:val="both"/>
              <w:rPr>
                <w:rFonts w:ascii="Times New Roman" w:eastAsia="Times New Roman" w:hAnsi="Times New Roman" w:cs="Times New Roman"/>
                <w:sz w:val="20"/>
                <w:szCs w:val="20"/>
              </w:rPr>
            </w:pPr>
            <w:r w:rsidRPr="0023685A">
              <w:rPr>
                <w:rFonts w:ascii="Times New Roman" w:eastAsia="Times New Roman" w:hAnsi="Times New Roman" w:cs="Times New Roman"/>
                <w:sz w:val="20"/>
                <w:szCs w:val="20"/>
              </w:rPr>
              <w:t>Областна администрация Бургас има сключен договор на стойност 34 800 лв. във връзка с подготовката на документацията по ЗОП за възлагане на обществени поръчки и оказване на съдействие при провеждането им ведно с подготовка с проекти по договори. По този договор е изплатено 10 на сто авансово плащане в размер на 3 480 лв. Остатъкът от 31 320 лв. следва да бъде осигурен за разплащане през 2024 г.</w:t>
            </w:r>
          </w:p>
          <w:p w:rsidR="00DC7AD7" w:rsidRPr="0023685A" w:rsidRDefault="00DC7AD7" w:rsidP="00097BFC">
            <w:pPr>
              <w:spacing w:after="60" w:line="240" w:lineRule="auto"/>
              <w:jc w:val="both"/>
              <w:rPr>
                <w:rFonts w:ascii="Times New Roman" w:eastAsia="Times New Roman" w:hAnsi="Times New Roman" w:cs="Times New Roman"/>
                <w:sz w:val="20"/>
                <w:szCs w:val="20"/>
              </w:rPr>
            </w:pPr>
            <w:r w:rsidRPr="0023685A">
              <w:rPr>
                <w:rFonts w:ascii="Times New Roman" w:eastAsia="Times New Roman" w:hAnsi="Times New Roman" w:cs="Times New Roman"/>
                <w:sz w:val="20"/>
                <w:szCs w:val="20"/>
              </w:rPr>
              <w:t xml:space="preserve">Във връзка с висящи процедури за възлагане на обществени поръчки за изпълнение на СМР, строителен надзор и инвеститорски контрол за обект „Аварийна реконструкция на филтърно и помпено стъпало на ПСПВ „Ясна поляна“ и с оглед сроковете за провеждане на процедурите и евентуалното им </w:t>
            </w:r>
            <w:r w:rsidRPr="003E68BE">
              <w:rPr>
                <w:rFonts w:ascii="Times New Roman" w:eastAsia="Times New Roman" w:hAnsi="Times New Roman" w:cs="Times New Roman"/>
                <w:sz w:val="20"/>
                <w:szCs w:val="20"/>
              </w:rPr>
              <w:t>обжалване необходимият финансов ресурс за 2024 г. възлиза на 22 816 100 лв.</w:t>
            </w:r>
          </w:p>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Приема се частично</w:t>
            </w:r>
          </w:p>
        </w:tc>
        <w:tc>
          <w:tcPr>
            <w:tcW w:w="1617" w:type="pct"/>
            <w:shd w:val="clear" w:color="auto" w:fill="auto"/>
          </w:tcPr>
          <w:p w:rsidR="00C16A5E" w:rsidRPr="00DB6110" w:rsidRDefault="00C16A5E" w:rsidP="00C16A5E">
            <w:pPr>
              <w:spacing w:after="0" w:line="240" w:lineRule="auto"/>
              <w:jc w:val="both"/>
              <w:rPr>
                <w:rFonts w:ascii="Times New Roman" w:eastAsia="Times New Roman" w:hAnsi="Times New Roman" w:cs="Times New Roman"/>
                <w:sz w:val="20"/>
                <w:szCs w:val="20"/>
              </w:rPr>
            </w:pPr>
            <w:r w:rsidRPr="00DB6110">
              <w:rPr>
                <w:rFonts w:ascii="Times New Roman" w:eastAsia="Times New Roman" w:hAnsi="Times New Roman" w:cs="Times New Roman"/>
                <w:sz w:val="20"/>
                <w:szCs w:val="20"/>
              </w:rPr>
              <w:t xml:space="preserve">Новите максимален размер на ангажиментите за разходи, които могат да бъдат поети през 2024 г. – </w:t>
            </w:r>
            <w:r w:rsidR="002A6D44">
              <w:rPr>
                <w:rFonts w:ascii="Times New Roman" w:eastAsia="Times New Roman" w:hAnsi="Times New Roman" w:cs="Times New Roman"/>
                <w:sz w:val="20"/>
                <w:szCs w:val="20"/>
              </w:rPr>
              <w:t>80 420 </w:t>
            </w:r>
            <w:r>
              <w:rPr>
                <w:rFonts w:ascii="Times New Roman" w:eastAsia="Times New Roman" w:hAnsi="Times New Roman" w:cs="Times New Roman"/>
                <w:sz w:val="20"/>
                <w:szCs w:val="20"/>
              </w:rPr>
              <w:t>400</w:t>
            </w:r>
            <w:r w:rsidRPr="00DB6110">
              <w:rPr>
                <w:rFonts w:ascii="Times New Roman" w:eastAsia="Times New Roman" w:hAnsi="Times New Roman" w:cs="Times New Roman"/>
                <w:sz w:val="20"/>
                <w:szCs w:val="20"/>
              </w:rPr>
              <w:t xml:space="preserve"> лв. и максимален размер на новите задължения за разходи – 9</w:t>
            </w:r>
            <w:r>
              <w:rPr>
                <w:rFonts w:ascii="Times New Roman" w:eastAsia="Times New Roman" w:hAnsi="Times New Roman" w:cs="Times New Roman"/>
                <w:sz w:val="20"/>
                <w:szCs w:val="20"/>
              </w:rPr>
              <w:t>5 818 400</w:t>
            </w:r>
            <w:r w:rsidRPr="00DB6110">
              <w:rPr>
                <w:rFonts w:ascii="Times New Roman" w:eastAsia="Times New Roman" w:hAnsi="Times New Roman" w:cs="Times New Roman"/>
                <w:sz w:val="20"/>
                <w:szCs w:val="20"/>
              </w:rPr>
              <w:t xml:space="preserve"> лв., които могат да </w:t>
            </w:r>
            <w:r w:rsidRPr="00DB6110">
              <w:rPr>
                <w:rFonts w:ascii="Times New Roman" w:eastAsia="Times New Roman" w:hAnsi="Times New Roman" w:cs="Times New Roman"/>
                <w:sz w:val="20"/>
                <w:szCs w:val="20"/>
              </w:rPr>
              <w:lastRenderedPageBreak/>
              <w:t>бъдат натрупани през 2024 г., без стойностите за обект „Аварийна реконструкция на филтърно и помпено стъпало на ПСПВ „Ясна поляна“, са отразени в проекта на ЗДБРБ за 2024 г. по чл.6.</w:t>
            </w:r>
          </w:p>
          <w:p w:rsidR="00DC7AD7" w:rsidRPr="00F62685" w:rsidRDefault="00C16A5E" w:rsidP="00C16A5E">
            <w:pPr>
              <w:spacing w:after="0" w:line="240" w:lineRule="auto"/>
              <w:jc w:val="both"/>
              <w:rPr>
                <w:rFonts w:ascii="Times New Roman" w:eastAsia="Times New Roman" w:hAnsi="Times New Roman" w:cs="Times New Roman"/>
                <w:sz w:val="20"/>
                <w:szCs w:val="20"/>
              </w:rPr>
            </w:pPr>
            <w:r w:rsidRPr="00DB6110">
              <w:rPr>
                <w:rFonts w:ascii="Times New Roman" w:eastAsia="Times New Roman" w:hAnsi="Times New Roman" w:cs="Times New Roman"/>
                <w:sz w:val="20"/>
                <w:szCs w:val="20"/>
              </w:rPr>
              <w:t>В сумите фигурират съответните показатели, съобразно актуализираната субсидия за вероизпов</w:t>
            </w:r>
            <w:r>
              <w:rPr>
                <w:rFonts w:ascii="Times New Roman" w:eastAsia="Times New Roman" w:hAnsi="Times New Roman" w:cs="Times New Roman"/>
                <w:sz w:val="20"/>
                <w:szCs w:val="20"/>
              </w:rPr>
              <w:t>е</w:t>
            </w:r>
            <w:r w:rsidRPr="00DB6110">
              <w:rPr>
                <w:rFonts w:ascii="Times New Roman" w:eastAsia="Times New Roman" w:hAnsi="Times New Roman" w:cs="Times New Roman"/>
                <w:sz w:val="20"/>
                <w:szCs w:val="20"/>
              </w:rPr>
              <w:t>данията – 8 828 600 лв. и разходите за дейността на Националната комисия за борба с трафика на хора – 4</w:t>
            </w:r>
            <w:r>
              <w:rPr>
                <w:rFonts w:ascii="Times New Roman" w:eastAsia="Times New Roman" w:hAnsi="Times New Roman" w:cs="Times New Roman"/>
                <w:sz w:val="20"/>
                <w:szCs w:val="20"/>
              </w:rPr>
              <w:t>25 200</w:t>
            </w:r>
            <w:r w:rsidRPr="00DB6110">
              <w:rPr>
                <w:rFonts w:ascii="Times New Roman" w:eastAsia="Times New Roman" w:hAnsi="Times New Roman" w:cs="Times New Roman"/>
                <w:sz w:val="20"/>
                <w:szCs w:val="20"/>
              </w:rPr>
              <w:t xml:space="preserve"> лв.</w:t>
            </w:r>
          </w:p>
        </w:tc>
      </w:tr>
      <w:tr w:rsidR="00DC7AD7" w:rsidRPr="00F62685" w:rsidTr="00174FD8">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3E68BE" w:rsidRDefault="00DC7AD7" w:rsidP="00097BFC">
            <w:pPr>
              <w:spacing w:after="60" w:line="240" w:lineRule="auto"/>
              <w:jc w:val="both"/>
              <w:rPr>
                <w:rFonts w:ascii="Times New Roman" w:eastAsia="Times New Roman" w:hAnsi="Times New Roman" w:cs="Times New Roman"/>
                <w:sz w:val="20"/>
                <w:szCs w:val="20"/>
              </w:rPr>
            </w:pPr>
            <w:r w:rsidRPr="0023685A">
              <w:rPr>
                <w:rFonts w:ascii="Times New Roman" w:eastAsia="Times New Roman" w:hAnsi="Times New Roman" w:cs="Times New Roman"/>
                <w:sz w:val="20"/>
                <w:szCs w:val="20"/>
              </w:rPr>
              <w:t>4.</w:t>
            </w:r>
            <w:r>
              <w:rPr>
                <w:rFonts w:ascii="Times New Roman" w:eastAsia="Times New Roman" w:hAnsi="Times New Roman" w:cs="Times New Roman"/>
                <w:sz w:val="20"/>
                <w:szCs w:val="20"/>
              </w:rPr>
              <w:t xml:space="preserve"> </w:t>
            </w:r>
            <w:r w:rsidRPr="0023685A">
              <w:rPr>
                <w:rFonts w:ascii="Times New Roman" w:eastAsia="Times New Roman" w:hAnsi="Times New Roman" w:cs="Times New Roman"/>
                <w:sz w:val="20"/>
                <w:szCs w:val="20"/>
              </w:rPr>
              <w:t xml:space="preserve">Видно от посоченото в писмото Ви, в законопроекта за държавния бюджет на Република България за 2024 г. не са предвидени </w:t>
            </w:r>
            <w:r w:rsidRPr="003E68BE">
              <w:rPr>
                <w:rFonts w:ascii="Times New Roman" w:eastAsia="Times New Roman" w:hAnsi="Times New Roman" w:cs="Times New Roman"/>
                <w:sz w:val="20"/>
                <w:szCs w:val="20"/>
              </w:rPr>
              <w:t>допълнителни средства за обезпечаване на дейността на Националната комисия за борба с трафика на хора (НКБТХ) за 2024 г. В тази връзка предлагам, показателите по бюджета на Министерския съвет за 2024 г. да бъдат завишени с размера на средствата, заявени с писмо наш №  № 04.01-255/07.11.2023 г. Мотивите на НКБТХ, относно належащата необходимост от увеличаване на бюджета на Комисията са следните:</w:t>
            </w:r>
          </w:p>
          <w:p w:rsidR="00DC7AD7" w:rsidRPr="0023685A" w:rsidRDefault="00DC7AD7" w:rsidP="00097BFC">
            <w:pPr>
              <w:spacing w:after="60" w:line="240" w:lineRule="auto"/>
              <w:jc w:val="both"/>
              <w:rPr>
                <w:rFonts w:ascii="Times New Roman" w:eastAsia="Times New Roman" w:hAnsi="Times New Roman" w:cs="Times New Roman"/>
                <w:sz w:val="20"/>
                <w:szCs w:val="20"/>
              </w:rPr>
            </w:pPr>
            <w:r w:rsidRPr="003E68BE">
              <w:rPr>
                <w:rFonts w:ascii="Times New Roman" w:eastAsia="Times New Roman" w:hAnsi="Times New Roman" w:cs="Times New Roman"/>
                <w:sz w:val="20"/>
                <w:szCs w:val="20"/>
              </w:rPr>
              <w:t>Ежегодно Държавният департамента на САЩ публикува Годишен доклад за трафика на хора.</w:t>
            </w:r>
            <w:r w:rsidRPr="0023685A">
              <w:rPr>
                <w:rFonts w:ascii="Times New Roman" w:eastAsia="Times New Roman" w:hAnsi="Times New Roman" w:cs="Times New Roman"/>
                <w:sz w:val="20"/>
                <w:szCs w:val="20"/>
              </w:rPr>
              <w:t xml:space="preserve"> На 15 юни 2023 г. държавният секретар на САЩ Антъни </w:t>
            </w:r>
            <w:proofErr w:type="spellStart"/>
            <w:r w:rsidRPr="0023685A">
              <w:rPr>
                <w:rFonts w:ascii="Times New Roman" w:eastAsia="Times New Roman" w:hAnsi="Times New Roman" w:cs="Times New Roman"/>
                <w:sz w:val="20"/>
                <w:szCs w:val="20"/>
              </w:rPr>
              <w:t>Блинкен</w:t>
            </w:r>
            <w:proofErr w:type="spellEnd"/>
            <w:r w:rsidRPr="0023685A">
              <w:rPr>
                <w:rFonts w:ascii="Times New Roman" w:eastAsia="Times New Roman" w:hAnsi="Times New Roman" w:cs="Times New Roman"/>
                <w:sz w:val="20"/>
                <w:szCs w:val="20"/>
              </w:rPr>
              <w:t xml:space="preserve"> представи Годишния доклад на Държавния департамент на САЩ за незаконния трафик на хора по света (2023 </w:t>
            </w:r>
            <w:proofErr w:type="spellStart"/>
            <w:r w:rsidRPr="0023685A">
              <w:rPr>
                <w:rFonts w:ascii="Times New Roman" w:eastAsia="Times New Roman" w:hAnsi="Times New Roman" w:cs="Times New Roman"/>
                <w:sz w:val="20"/>
                <w:szCs w:val="20"/>
              </w:rPr>
              <w:t>Trafficking</w:t>
            </w:r>
            <w:proofErr w:type="spellEnd"/>
            <w:r w:rsidRPr="0023685A">
              <w:rPr>
                <w:rFonts w:ascii="Times New Roman" w:eastAsia="Times New Roman" w:hAnsi="Times New Roman" w:cs="Times New Roman"/>
                <w:sz w:val="20"/>
                <w:szCs w:val="20"/>
              </w:rPr>
              <w:t xml:space="preserve"> </w:t>
            </w:r>
            <w:proofErr w:type="spellStart"/>
            <w:r w:rsidRPr="0023685A">
              <w:rPr>
                <w:rFonts w:ascii="Times New Roman" w:eastAsia="Times New Roman" w:hAnsi="Times New Roman" w:cs="Times New Roman"/>
                <w:sz w:val="20"/>
                <w:szCs w:val="20"/>
              </w:rPr>
              <w:t>in</w:t>
            </w:r>
            <w:proofErr w:type="spellEnd"/>
            <w:r w:rsidRPr="0023685A">
              <w:rPr>
                <w:rFonts w:ascii="Times New Roman" w:eastAsia="Times New Roman" w:hAnsi="Times New Roman" w:cs="Times New Roman"/>
                <w:sz w:val="20"/>
                <w:szCs w:val="20"/>
              </w:rPr>
              <w:t xml:space="preserve"> </w:t>
            </w:r>
            <w:proofErr w:type="spellStart"/>
            <w:r w:rsidRPr="0023685A">
              <w:rPr>
                <w:rFonts w:ascii="Times New Roman" w:eastAsia="Times New Roman" w:hAnsi="Times New Roman" w:cs="Times New Roman"/>
                <w:sz w:val="20"/>
                <w:szCs w:val="20"/>
              </w:rPr>
              <w:t>Persons</w:t>
            </w:r>
            <w:proofErr w:type="spellEnd"/>
            <w:r w:rsidRPr="0023685A">
              <w:rPr>
                <w:rFonts w:ascii="Times New Roman" w:eastAsia="Times New Roman" w:hAnsi="Times New Roman" w:cs="Times New Roman"/>
                <w:sz w:val="20"/>
                <w:szCs w:val="20"/>
              </w:rPr>
              <w:t xml:space="preserve"> </w:t>
            </w:r>
            <w:proofErr w:type="spellStart"/>
            <w:r w:rsidRPr="0023685A">
              <w:rPr>
                <w:rFonts w:ascii="Times New Roman" w:eastAsia="Times New Roman" w:hAnsi="Times New Roman" w:cs="Times New Roman"/>
                <w:sz w:val="20"/>
                <w:szCs w:val="20"/>
              </w:rPr>
              <w:t>Report</w:t>
            </w:r>
            <w:proofErr w:type="spellEnd"/>
            <w:r w:rsidRPr="0023685A">
              <w:rPr>
                <w:rFonts w:ascii="Times New Roman" w:eastAsia="Times New Roman" w:hAnsi="Times New Roman" w:cs="Times New Roman"/>
                <w:sz w:val="20"/>
                <w:szCs w:val="20"/>
              </w:rPr>
              <w:t xml:space="preserve"> – 2023 TIP </w:t>
            </w:r>
            <w:proofErr w:type="spellStart"/>
            <w:r w:rsidRPr="0023685A">
              <w:rPr>
                <w:rFonts w:ascii="Times New Roman" w:eastAsia="Times New Roman" w:hAnsi="Times New Roman" w:cs="Times New Roman"/>
                <w:sz w:val="20"/>
                <w:szCs w:val="20"/>
              </w:rPr>
              <w:t>Report</w:t>
            </w:r>
            <w:proofErr w:type="spellEnd"/>
            <w:r w:rsidRPr="0023685A">
              <w:rPr>
                <w:rFonts w:ascii="Times New Roman" w:eastAsia="Times New Roman" w:hAnsi="Times New Roman" w:cs="Times New Roman"/>
                <w:sz w:val="20"/>
                <w:szCs w:val="20"/>
              </w:rPr>
              <w:t xml:space="preserve">). Изготвянето на ежегодния доклад се координира от Офиса за мониторинг и противодействие на трафика на хора в Държавния департамент и е неразделна част от дневния ред по сигурността на САЩ. </w:t>
            </w:r>
          </w:p>
          <w:p w:rsidR="00DC7AD7" w:rsidRPr="0023685A" w:rsidRDefault="00DC7AD7" w:rsidP="00097BFC">
            <w:pPr>
              <w:spacing w:after="60" w:line="240" w:lineRule="auto"/>
              <w:jc w:val="both"/>
              <w:rPr>
                <w:rFonts w:ascii="Times New Roman" w:eastAsia="Times New Roman" w:hAnsi="Times New Roman" w:cs="Times New Roman"/>
                <w:sz w:val="20"/>
                <w:szCs w:val="20"/>
              </w:rPr>
            </w:pPr>
            <w:r w:rsidRPr="0023685A">
              <w:rPr>
                <w:rFonts w:ascii="Times New Roman" w:eastAsia="Times New Roman" w:hAnsi="Times New Roman" w:cs="Times New Roman"/>
                <w:sz w:val="20"/>
                <w:szCs w:val="20"/>
              </w:rPr>
              <w:t>В Доклада за трафика на хора държавите са поставени в четири групи въз основа на постигнатите от тях резултати, съгласно изискванията на „Закона за защита на жертвите на трафик“. Четирите групи са, както следва: Първа група (</w:t>
            </w:r>
            <w:proofErr w:type="spellStart"/>
            <w:r w:rsidRPr="0023685A">
              <w:rPr>
                <w:rFonts w:ascii="Times New Roman" w:eastAsia="Times New Roman" w:hAnsi="Times New Roman" w:cs="Times New Roman"/>
                <w:sz w:val="20"/>
                <w:szCs w:val="20"/>
              </w:rPr>
              <w:t>Tier</w:t>
            </w:r>
            <w:proofErr w:type="spellEnd"/>
            <w:r w:rsidRPr="0023685A">
              <w:rPr>
                <w:rFonts w:ascii="Times New Roman" w:eastAsia="Times New Roman" w:hAnsi="Times New Roman" w:cs="Times New Roman"/>
                <w:sz w:val="20"/>
                <w:szCs w:val="20"/>
              </w:rPr>
              <w:t xml:space="preserve"> 1) - държави, които изцяло спазват минималните стандарти, залегнали в закона; Втора група (</w:t>
            </w:r>
            <w:proofErr w:type="spellStart"/>
            <w:r w:rsidRPr="0023685A">
              <w:rPr>
                <w:rFonts w:ascii="Times New Roman" w:eastAsia="Times New Roman" w:hAnsi="Times New Roman" w:cs="Times New Roman"/>
                <w:sz w:val="20"/>
                <w:szCs w:val="20"/>
              </w:rPr>
              <w:t>Tier</w:t>
            </w:r>
            <w:proofErr w:type="spellEnd"/>
            <w:r w:rsidRPr="0023685A">
              <w:rPr>
                <w:rFonts w:ascii="Times New Roman" w:eastAsia="Times New Roman" w:hAnsi="Times New Roman" w:cs="Times New Roman"/>
                <w:sz w:val="20"/>
                <w:szCs w:val="20"/>
              </w:rPr>
              <w:t xml:space="preserve"> 2) – страни, които не спазват изцяло </w:t>
            </w:r>
            <w:r w:rsidRPr="0023685A">
              <w:rPr>
                <w:rFonts w:ascii="Times New Roman" w:eastAsia="Times New Roman" w:hAnsi="Times New Roman" w:cs="Times New Roman"/>
                <w:sz w:val="20"/>
                <w:szCs w:val="20"/>
              </w:rPr>
              <w:lastRenderedPageBreak/>
              <w:t>минималните стандарти, но полагат значителни усилия за постигането им; Втора група под наблюдение (</w:t>
            </w:r>
            <w:proofErr w:type="spellStart"/>
            <w:r w:rsidRPr="0023685A">
              <w:rPr>
                <w:rFonts w:ascii="Times New Roman" w:eastAsia="Times New Roman" w:hAnsi="Times New Roman" w:cs="Times New Roman"/>
                <w:sz w:val="20"/>
                <w:szCs w:val="20"/>
              </w:rPr>
              <w:t>Tier</w:t>
            </w:r>
            <w:proofErr w:type="spellEnd"/>
            <w:r w:rsidRPr="0023685A">
              <w:rPr>
                <w:rFonts w:ascii="Times New Roman" w:eastAsia="Times New Roman" w:hAnsi="Times New Roman" w:cs="Times New Roman"/>
                <w:sz w:val="20"/>
                <w:szCs w:val="20"/>
              </w:rPr>
              <w:t xml:space="preserve"> 2 </w:t>
            </w:r>
            <w:proofErr w:type="spellStart"/>
            <w:r w:rsidRPr="0023685A">
              <w:rPr>
                <w:rFonts w:ascii="Times New Roman" w:eastAsia="Times New Roman" w:hAnsi="Times New Roman" w:cs="Times New Roman"/>
                <w:sz w:val="20"/>
                <w:szCs w:val="20"/>
              </w:rPr>
              <w:t>Watch</w:t>
            </w:r>
            <w:proofErr w:type="spellEnd"/>
            <w:r w:rsidRPr="0023685A">
              <w:rPr>
                <w:rFonts w:ascii="Times New Roman" w:eastAsia="Times New Roman" w:hAnsi="Times New Roman" w:cs="Times New Roman"/>
                <w:sz w:val="20"/>
                <w:szCs w:val="20"/>
              </w:rPr>
              <w:t xml:space="preserve"> </w:t>
            </w:r>
            <w:proofErr w:type="spellStart"/>
            <w:r w:rsidRPr="0023685A">
              <w:rPr>
                <w:rFonts w:ascii="Times New Roman" w:eastAsia="Times New Roman" w:hAnsi="Times New Roman" w:cs="Times New Roman"/>
                <w:sz w:val="20"/>
                <w:szCs w:val="20"/>
              </w:rPr>
              <w:t>List</w:t>
            </w:r>
            <w:proofErr w:type="spellEnd"/>
            <w:r w:rsidRPr="0023685A">
              <w:rPr>
                <w:rFonts w:ascii="Times New Roman" w:eastAsia="Times New Roman" w:hAnsi="Times New Roman" w:cs="Times New Roman"/>
                <w:sz w:val="20"/>
                <w:szCs w:val="20"/>
              </w:rPr>
              <w:t>) - страни, които не спазват изцяло минималните стандарти на TVPA, но полагат значителни усилия, за да постигнат съответствие с тях; Трета група (</w:t>
            </w:r>
            <w:proofErr w:type="spellStart"/>
            <w:r w:rsidRPr="0023685A">
              <w:rPr>
                <w:rFonts w:ascii="Times New Roman" w:eastAsia="Times New Roman" w:hAnsi="Times New Roman" w:cs="Times New Roman"/>
                <w:sz w:val="20"/>
                <w:szCs w:val="20"/>
              </w:rPr>
              <w:t>Tier</w:t>
            </w:r>
            <w:proofErr w:type="spellEnd"/>
            <w:r w:rsidRPr="0023685A">
              <w:rPr>
                <w:rFonts w:ascii="Times New Roman" w:eastAsia="Times New Roman" w:hAnsi="Times New Roman" w:cs="Times New Roman"/>
                <w:sz w:val="20"/>
                <w:szCs w:val="20"/>
              </w:rPr>
              <w:t xml:space="preserve"> 3) – страни, които изцяло не спазват минималните стандарти и не полагат значителни усилия за постигането им. Република България е поставена за втора поредна година във Втора група под наблюдение (</w:t>
            </w:r>
            <w:proofErr w:type="spellStart"/>
            <w:r w:rsidRPr="0023685A">
              <w:rPr>
                <w:rFonts w:ascii="Times New Roman" w:eastAsia="Times New Roman" w:hAnsi="Times New Roman" w:cs="Times New Roman"/>
                <w:sz w:val="20"/>
                <w:szCs w:val="20"/>
              </w:rPr>
              <w:t>Tier</w:t>
            </w:r>
            <w:proofErr w:type="spellEnd"/>
            <w:r w:rsidRPr="0023685A">
              <w:rPr>
                <w:rFonts w:ascii="Times New Roman" w:eastAsia="Times New Roman" w:hAnsi="Times New Roman" w:cs="Times New Roman"/>
                <w:sz w:val="20"/>
                <w:szCs w:val="20"/>
              </w:rPr>
              <w:t xml:space="preserve"> 2 </w:t>
            </w:r>
            <w:proofErr w:type="spellStart"/>
            <w:r w:rsidRPr="0023685A">
              <w:rPr>
                <w:rFonts w:ascii="Times New Roman" w:eastAsia="Times New Roman" w:hAnsi="Times New Roman" w:cs="Times New Roman"/>
                <w:sz w:val="20"/>
                <w:szCs w:val="20"/>
              </w:rPr>
              <w:t>Watch</w:t>
            </w:r>
            <w:proofErr w:type="spellEnd"/>
            <w:r w:rsidRPr="0023685A">
              <w:rPr>
                <w:rFonts w:ascii="Times New Roman" w:eastAsia="Times New Roman" w:hAnsi="Times New Roman" w:cs="Times New Roman"/>
                <w:sz w:val="20"/>
                <w:szCs w:val="20"/>
              </w:rPr>
              <w:t xml:space="preserve"> </w:t>
            </w:r>
            <w:proofErr w:type="spellStart"/>
            <w:r w:rsidRPr="0023685A">
              <w:rPr>
                <w:rFonts w:ascii="Times New Roman" w:eastAsia="Times New Roman" w:hAnsi="Times New Roman" w:cs="Times New Roman"/>
                <w:sz w:val="20"/>
                <w:szCs w:val="20"/>
              </w:rPr>
              <w:t>list</w:t>
            </w:r>
            <w:proofErr w:type="spellEnd"/>
            <w:r w:rsidRPr="0023685A">
              <w:rPr>
                <w:rFonts w:ascii="Times New Roman" w:eastAsia="Times New Roman" w:hAnsi="Times New Roman" w:cs="Times New Roman"/>
                <w:sz w:val="20"/>
                <w:szCs w:val="20"/>
              </w:rPr>
              <w:t xml:space="preserve">). България и тази година е единствената държава членка на ЕС, поставена в тази група, редом с държави като Боливия, Конго, Египет, Габон, Ирак, Кувейт, ЮАР. В групата остава и Сърбия, но е добавена Черна гора, с което държавите от Европа стават две. В Трета група продължават да са държави като Беларус, Русия, Мианмар, Иран, КНДР, Туркменистан, Венецуела и др. В периода след публикуването на предходния доклад през 2022 г. Република България не успява да покрие напълно минималните стандарти за предотвратяване на трафика на хора, въпреки че полага значителни усилия. Прави се обобщение, че „България продължава да е една от държавите, които са основен източник за трафик на хора в ЕС“. Като основен проблем се посочва ограниченото финансиране на неправителствени организации и на НКБТХ за изграждане на капацитет и прилагане на дейности за противодействие на трафика на хора, което ограничава устойчивостта на системата на правителството за борба с трафика. </w:t>
            </w:r>
          </w:p>
          <w:p w:rsidR="00DC7AD7" w:rsidRPr="0023685A" w:rsidRDefault="00DC7AD7" w:rsidP="00097BFC">
            <w:pPr>
              <w:spacing w:after="60" w:line="240" w:lineRule="auto"/>
              <w:jc w:val="both"/>
              <w:rPr>
                <w:rFonts w:ascii="Times New Roman" w:eastAsia="Times New Roman" w:hAnsi="Times New Roman" w:cs="Times New Roman"/>
                <w:sz w:val="20"/>
                <w:szCs w:val="20"/>
              </w:rPr>
            </w:pPr>
            <w:r w:rsidRPr="0023685A">
              <w:rPr>
                <w:rFonts w:ascii="Times New Roman" w:eastAsia="Times New Roman" w:hAnsi="Times New Roman" w:cs="Times New Roman"/>
                <w:sz w:val="20"/>
                <w:szCs w:val="20"/>
              </w:rPr>
              <w:t xml:space="preserve">От Посолството на САЩ е предаден </w:t>
            </w:r>
            <w:proofErr w:type="spellStart"/>
            <w:r w:rsidRPr="0023685A">
              <w:rPr>
                <w:rFonts w:ascii="Times New Roman" w:eastAsia="Times New Roman" w:hAnsi="Times New Roman" w:cs="Times New Roman"/>
                <w:sz w:val="20"/>
                <w:szCs w:val="20"/>
              </w:rPr>
              <w:t>демарш</w:t>
            </w:r>
            <w:proofErr w:type="spellEnd"/>
            <w:r w:rsidRPr="0023685A">
              <w:rPr>
                <w:rFonts w:ascii="Times New Roman" w:eastAsia="Times New Roman" w:hAnsi="Times New Roman" w:cs="Times New Roman"/>
                <w:sz w:val="20"/>
                <w:szCs w:val="20"/>
              </w:rPr>
              <w:t xml:space="preserve"> на МВнР относно потенциалното автоматично понижение на България в областта на трафика на хора. Държавите, които са поставени във Втора група под наблюдение за повече от две последователни години, автоматично се преместват в Трета група в Доклада за 2024 г., освен ако не докажат значителни и нарастващи усилия, които да заслужат преместване до Втора група или Първа група, или им бъде предоставено отлагане от Държавния секретар. Американското законодателство позволява еднократно отлагане на понижението на статута от Втора група под наблюдение до Трета група, като едно от условията е правителството на съответната страна да отдели достатъчно ресурси. Моментът за определяне на бюджета на НКБТХ е от ключово значение, защото понастоящем Вашингтон трябва да представи междинен доклад на Конгреса на САЩ относно напредъка, който България е постигнала през първата половина на целия докладен период (1 април до 31 март) по отношение на приоритетните препоръки в Доклада за трафика на хора за 2023 г. Предвид това, с оглед предоставяне на по-благоприятна оценка на България и </w:t>
            </w:r>
            <w:r w:rsidRPr="0023685A">
              <w:rPr>
                <w:rFonts w:ascii="Times New Roman" w:eastAsia="Times New Roman" w:hAnsi="Times New Roman" w:cs="Times New Roman"/>
                <w:sz w:val="20"/>
                <w:szCs w:val="20"/>
              </w:rPr>
              <w:lastRenderedPageBreak/>
              <w:t>предотвратяване на понижението на статута на страната ни от Втора група под наблюдение до Трета група, е изключително необходимо завишаване на предвидения бюджет на НКБТХ. Подобно увеличение би било недвусмислена заявка на държавата, че счита политиката за борба с трафика на хора за свой приоритет. Липсата на увеличение на бюджета на НКБТХ е изключително рисковано, доколкото попадането в най-долната Трета група би довело до ограничаване от страна на САЩ на сътрудничеството и спиране на финансова, експертна и др. вид помощ в определени сфери (без хуманитарна и свързана с търговските отношения помощ), като единствено президентът на САЩ може да отмени тези ограничения.</w:t>
            </w:r>
          </w:p>
          <w:p w:rsidR="00DC7AD7" w:rsidRDefault="00DC7AD7"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Приема се частично</w:t>
            </w: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C16A5E" w:rsidRPr="00DB6110" w:rsidRDefault="00C16A5E" w:rsidP="00C16A5E">
            <w:pPr>
              <w:spacing w:after="0" w:line="240" w:lineRule="auto"/>
              <w:jc w:val="both"/>
              <w:rPr>
                <w:rFonts w:ascii="Times New Roman" w:eastAsia="Times New Roman" w:hAnsi="Times New Roman" w:cs="Times New Roman"/>
                <w:sz w:val="20"/>
                <w:szCs w:val="20"/>
              </w:rPr>
            </w:pPr>
            <w:r w:rsidRPr="00DB6110">
              <w:rPr>
                <w:rFonts w:ascii="Times New Roman" w:eastAsia="Times New Roman" w:hAnsi="Times New Roman" w:cs="Times New Roman"/>
                <w:sz w:val="20"/>
                <w:szCs w:val="20"/>
              </w:rPr>
              <w:t>Допълнителни разходи за персонал следва да се разглеждат в контекста на предвидените с чл.1, ал.5, т.</w:t>
            </w:r>
            <w:r>
              <w:rPr>
                <w:rFonts w:ascii="Times New Roman" w:eastAsia="Times New Roman" w:hAnsi="Times New Roman" w:cs="Times New Roman"/>
                <w:sz w:val="20"/>
                <w:szCs w:val="20"/>
              </w:rPr>
              <w:t> 8</w:t>
            </w:r>
            <w:r w:rsidRPr="00DB6110">
              <w:rPr>
                <w:rFonts w:ascii="Times New Roman" w:eastAsia="Times New Roman" w:hAnsi="Times New Roman" w:cs="Times New Roman"/>
                <w:sz w:val="20"/>
                <w:szCs w:val="20"/>
              </w:rPr>
              <w:t>.1 от проекта на ЗДБРБ 2024 г.</w:t>
            </w:r>
          </w:p>
          <w:p w:rsidR="00C16A5E" w:rsidRDefault="00C16A5E" w:rsidP="00C16A5E">
            <w:pPr>
              <w:spacing w:after="0" w:line="240" w:lineRule="auto"/>
              <w:jc w:val="both"/>
              <w:rPr>
                <w:rFonts w:ascii="Times New Roman" w:eastAsia="Times New Roman" w:hAnsi="Times New Roman" w:cs="Times New Roman"/>
                <w:sz w:val="20"/>
                <w:szCs w:val="20"/>
              </w:rPr>
            </w:pPr>
            <w:r w:rsidRPr="00DB6110">
              <w:rPr>
                <w:rFonts w:ascii="Times New Roman" w:eastAsia="Times New Roman" w:hAnsi="Times New Roman" w:cs="Times New Roman"/>
                <w:sz w:val="20"/>
                <w:szCs w:val="20"/>
              </w:rPr>
              <w:t>Допълнителни разходи за издръжка – 425,2 хил. лв. са отразени в чл. 6 на проекта на ЗДБРБ за 2024 г.</w:t>
            </w:r>
          </w:p>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174FD8">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23685A">
              <w:rPr>
                <w:rFonts w:ascii="Times New Roman" w:eastAsia="Times New Roman" w:hAnsi="Times New Roman" w:cs="Times New Roman"/>
                <w:sz w:val="20"/>
                <w:szCs w:val="20"/>
              </w:rPr>
              <w:t>5.</w:t>
            </w:r>
            <w:r>
              <w:rPr>
                <w:rFonts w:ascii="Times New Roman" w:eastAsia="Times New Roman" w:hAnsi="Times New Roman" w:cs="Times New Roman"/>
                <w:sz w:val="20"/>
                <w:szCs w:val="20"/>
              </w:rPr>
              <w:t xml:space="preserve"> </w:t>
            </w:r>
            <w:r w:rsidRPr="0023685A">
              <w:rPr>
                <w:rFonts w:ascii="Times New Roman" w:eastAsia="Times New Roman" w:hAnsi="Times New Roman" w:cs="Times New Roman"/>
                <w:sz w:val="20"/>
                <w:szCs w:val="20"/>
              </w:rPr>
              <w:t>Отделно от гореизложеното, в законопроекта за държавния бюджет на Република България за 2024 г. не са видни средства за изпълнение на ангажиментите на областните управители за поддържане проводимостта на речните корита извън границите на урбанизираните територии по чл. 140 от Закона за водите и поддържането с грижата на добър стопанин на предоставения им в управление сграден фонд по Закона за държавната собственост, като не ни е известно предвиден ли е финансов ресурс по Централния бюджет и механизъм за финансиране изпълнението на тези законови ангажименти от областните управители.</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DC7AD7" w:rsidP="00BB7FC5">
            <w:pPr>
              <w:spacing w:after="0" w:line="240" w:lineRule="auto"/>
              <w:jc w:val="both"/>
              <w:rPr>
                <w:rFonts w:ascii="Times New Roman" w:eastAsia="Times New Roman" w:hAnsi="Times New Roman" w:cs="Times New Roman"/>
                <w:sz w:val="20"/>
                <w:szCs w:val="20"/>
              </w:rPr>
            </w:pPr>
            <w:r w:rsidRPr="00635781">
              <w:rPr>
                <w:rFonts w:ascii="Times New Roman" w:eastAsia="Times New Roman" w:hAnsi="Times New Roman" w:cs="Times New Roman"/>
                <w:sz w:val="20"/>
                <w:szCs w:val="20"/>
              </w:rPr>
              <w:t>Процесите по намаляване на риска от бедствия са описани в Закона за защита от бедствия, чл. 6г, като конкретно за финансирането има текстове в чл. 6г., ал.7, ал.3  от закона и в чл.12, ал.3 от Правилника за организацията и дейностите на МВК за ВП към МС. Решение за допълващо финансиране и за превантивни дейности би могло да се търси, когато мероприятията са заложени в Годишния план за Намаляване на риска от бедствия и чрез кандидатстване пред МВК за ВП към МС по реда предвиден в правилника на комисията и по-конкретно съгласно чл. 13 от него.</w:t>
            </w: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916782">
        <w:trPr>
          <w:trHeight w:val="64"/>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ДИРЕКЦИЯ „ПРАВНА“ НА МИНИСТЕРСКИЯ СЪВЕТ</w:t>
            </w: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 xml:space="preserve">По проекта на решение за одобряване на законопроект за държавния бюджет на Република България за 2024 г.  Дирекция „Правна“ на МС изразява следното становище: </w:t>
            </w:r>
          </w:p>
          <w:p w:rsidR="00DC7AD7" w:rsidRPr="00F62685" w:rsidRDefault="00DC7AD7"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Съгласно нормата на §1а от Закона за нормативните актове разпоредбите на този закон, касаещи общественото обсъждане и изготвянето на оценка на въздействие не се прилагат за закона за държавния бюджет. В същото време в настоящия законопроект има разпоредби, които не са функционално свързани със закона за държавния бюджет като разпоредбата на § 3 от ПЗР, която въвежда задължение за внасяне на целеви вноски  във Фонд „Сигурност на електроенергийната система“ на различни субекти като производители, търговци, обществени доставчици на електрическа енергия, за която регламентация следва да се прилагат чл.26 и сл. от Закона за нормативните актове. </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lastRenderedPageBreak/>
              <w:t xml:space="preserve">За предложенията по § 3, освен че няма предварителна оценка на въздействието,  няма и съответната обосновка в доклада на вносителя на законопроекта и доколкото с нея се предвижда допълнителна тежест на изброените субекти, в доклада следва да се изложи подробна мотивировка.    </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В доклада няма и обосновка защо не е спазен срока по чл. 34 от Устройствения правилник на Министерския съвет и на неговата администрация (УПМСНА) за междуведомствено съгласуване при подготовката на законопроекта, въпреки че в доклада е посочено че съгласувателната процедура по УПМСНА е спазена.</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Не се приема</w:t>
            </w: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highlight w:val="green"/>
              </w:rPr>
            </w:pPr>
          </w:p>
          <w:p w:rsidR="00DC7AD7" w:rsidRDefault="00DC7AD7" w:rsidP="00DC7AD7">
            <w:pPr>
              <w:spacing w:after="0" w:line="240" w:lineRule="auto"/>
              <w:jc w:val="both"/>
              <w:rPr>
                <w:rFonts w:ascii="Times New Roman" w:eastAsia="Times New Roman" w:hAnsi="Times New Roman" w:cs="Times New Roman"/>
                <w:sz w:val="20"/>
                <w:szCs w:val="20"/>
                <w:highlight w:val="green"/>
              </w:rPr>
            </w:pPr>
          </w:p>
          <w:p w:rsidR="00DC7AD7" w:rsidRDefault="00DC7AD7" w:rsidP="00DC7AD7">
            <w:pPr>
              <w:spacing w:after="0" w:line="240" w:lineRule="auto"/>
              <w:jc w:val="both"/>
              <w:rPr>
                <w:rFonts w:ascii="Times New Roman" w:eastAsia="Times New Roman" w:hAnsi="Times New Roman" w:cs="Times New Roman"/>
                <w:sz w:val="20"/>
                <w:szCs w:val="20"/>
                <w:highlight w:val="green"/>
              </w:rPr>
            </w:pPr>
          </w:p>
          <w:p w:rsidR="00DC7AD7" w:rsidRDefault="00DC7AD7" w:rsidP="00DC7AD7">
            <w:pPr>
              <w:spacing w:after="0" w:line="240" w:lineRule="auto"/>
              <w:jc w:val="both"/>
              <w:rPr>
                <w:rFonts w:ascii="Times New Roman" w:eastAsia="Times New Roman" w:hAnsi="Times New Roman" w:cs="Times New Roman"/>
                <w:sz w:val="20"/>
                <w:szCs w:val="20"/>
                <w:highlight w:val="green"/>
              </w:rPr>
            </w:pPr>
          </w:p>
          <w:p w:rsidR="00DC7AD7" w:rsidRPr="00E707D3" w:rsidRDefault="00DC7AD7" w:rsidP="00DC7AD7">
            <w:pPr>
              <w:spacing w:after="0" w:line="240" w:lineRule="auto"/>
              <w:jc w:val="both"/>
              <w:rPr>
                <w:rFonts w:ascii="Times New Roman" w:eastAsia="Times New Roman" w:hAnsi="Times New Roman" w:cs="Times New Roman"/>
                <w:sz w:val="20"/>
                <w:szCs w:val="20"/>
              </w:rPr>
            </w:pPr>
            <w:r w:rsidRPr="00E707D3">
              <w:rPr>
                <w:rFonts w:ascii="Times New Roman" w:eastAsia="Times New Roman" w:hAnsi="Times New Roman" w:cs="Times New Roman"/>
                <w:sz w:val="20"/>
                <w:szCs w:val="20"/>
              </w:rPr>
              <w:t>Разпоредбата е във връзка с очакваното удължаване на действието на Регламент (ЕС) 2022/1854 на Съвета от 6 октомври 2022 г. относно спешна намеса за справяне с високите цени на енергията до 30.06.2024 г.</w:t>
            </w:r>
          </w:p>
          <w:p w:rsidR="00DC7AD7" w:rsidRPr="00E707D3" w:rsidRDefault="00DC7AD7" w:rsidP="00DC7AD7">
            <w:pPr>
              <w:spacing w:after="0" w:line="240" w:lineRule="auto"/>
              <w:jc w:val="both"/>
              <w:rPr>
                <w:rFonts w:ascii="Times New Roman" w:eastAsia="Times New Roman" w:hAnsi="Times New Roman" w:cs="Times New Roman"/>
                <w:sz w:val="20"/>
                <w:szCs w:val="20"/>
              </w:rPr>
            </w:pPr>
            <w:r w:rsidRPr="00E707D3">
              <w:rPr>
                <w:rFonts w:ascii="Times New Roman" w:eastAsia="Times New Roman" w:hAnsi="Times New Roman" w:cs="Times New Roman"/>
                <w:sz w:val="20"/>
                <w:szCs w:val="20"/>
              </w:rPr>
              <w:t>Проекта на Регламент за изменение на  Регламент (ЕС) 2022/1854 се обсъжда в Съвета на ЕС и се очаква да бъде приет до края на м. ноември 2023 г.</w:t>
            </w:r>
          </w:p>
          <w:p w:rsidR="00DC7AD7" w:rsidRPr="00F62685" w:rsidRDefault="00DC7AD7" w:rsidP="00DC7AD7">
            <w:pPr>
              <w:spacing w:after="0" w:line="240" w:lineRule="auto"/>
              <w:jc w:val="both"/>
              <w:rPr>
                <w:rFonts w:ascii="Times New Roman" w:eastAsia="Times New Roman" w:hAnsi="Times New Roman" w:cs="Times New Roman"/>
                <w:sz w:val="20"/>
                <w:szCs w:val="20"/>
              </w:rPr>
            </w:pPr>
            <w:r w:rsidRPr="00E707D3">
              <w:rPr>
                <w:rFonts w:ascii="Times New Roman" w:eastAsia="Times New Roman" w:hAnsi="Times New Roman" w:cs="Times New Roman"/>
                <w:sz w:val="20"/>
                <w:szCs w:val="20"/>
              </w:rPr>
              <w:t>За периода 1.07 – 31.12. 2024 г. е предвидено мярката да бъде национална с цел осигуряване на необходимия финансов ресурс за компенсиране на потребителите на ел. енергия във връзка с либерализацията на пазара на ел. енергия за битовите крайни потребители.</w:t>
            </w: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ДИРЕКЦИЯ „КООРДИНАЦИЯ ПО ВЪПРОСИТЕ НА ЕВРОПЕЙСКИЯ СЪЮЗ“ НА МИНИСТЕРСКИЯ СЪВЕТ</w:t>
            </w:r>
          </w:p>
        </w:tc>
        <w:tc>
          <w:tcPr>
            <w:tcW w:w="1868" w:type="pct"/>
            <w:shd w:val="clear" w:color="auto" w:fill="auto"/>
          </w:tcPr>
          <w:p w:rsidR="00DC7AD7" w:rsidRPr="00F62685" w:rsidRDefault="00DC7AD7" w:rsidP="00097BFC">
            <w:pPr>
              <w:spacing w:before="120" w:after="60" w:line="240" w:lineRule="auto"/>
              <w:jc w:val="center"/>
              <w:rPr>
                <w:rFonts w:ascii="Times New Roman" w:eastAsia="Times New Roman" w:hAnsi="Times New Roman" w:cs="Times New Roman"/>
                <w:b/>
                <w:sz w:val="20"/>
                <w:szCs w:val="20"/>
                <w:u w:val="single"/>
              </w:rPr>
            </w:pPr>
            <w:r w:rsidRPr="00F62685">
              <w:rPr>
                <w:rFonts w:ascii="Times New Roman" w:eastAsia="Times New Roman" w:hAnsi="Times New Roman" w:cs="Times New Roman"/>
                <w:b/>
                <w:sz w:val="20"/>
                <w:szCs w:val="20"/>
                <w:u w:val="single"/>
              </w:rPr>
              <w:t>СЪГЛАСУВА БЕЗ БЕЛЕЖКИ</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b/>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ДИРЕКЦИЯ „ВЕРОИЗПОВЕДАНИЯ“ НА МИНИСТЕРСКИЯ СЪВЕТ</w:t>
            </w: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Д-я „Вероизповедания” на МС по принцип съгласува без бележки проекта на Решение на Министерския съвет за одобряване на законопроект за изменение и допълнение на Закона за  държавния бюджет на Република България за 2024 г. и материалите към него на основание чл. 32 от УПМСНА.</w:t>
            </w:r>
          </w:p>
          <w:p w:rsidR="00DC7AD7" w:rsidRPr="00F62685" w:rsidRDefault="00DC7AD7"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Д-я „Вероизповедания”</w:t>
            </w:r>
            <w:r w:rsidRPr="00F62685">
              <w:rPr>
                <w:rFonts w:ascii="Times New Roman" w:eastAsia="Times New Roman" w:hAnsi="Times New Roman" w:cs="Times New Roman"/>
                <w:sz w:val="20"/>
                <w:szCs w:val="20"/>
              </w:rPr>
              <w:tab/>
              <w:t xml:space="preserve">прави следното предложение: </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В заключителните разпоредби на проектозакона за държавния бюджет на Република България за 2024 г. се създава параграф:</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 В Закона за вероизповеданията (Обн. ДВ. бр.120 от 29 декември 2002г., изм. ДВ. бр.33 от 21 април 2006г., изм. ДВ. бр.59 от 20 юли 2007г., изм. ДВ. бр.74 от 15 септември 2009г., изм. ДВ. бр.68 от 2 август 2013г., изм. ДВ. бр.61 от 11 август 2015г., изм. ДВ. бр.79 от 13 октомври 2015г., изм. и доп. ДВ. бр.108 от 29 декември 2018г., изм. и доп. ДВ. бр.29 от 8 април 2019г., изм. ДВ. бр.34 от 23 април 2019г., изм. ДВ. бр.28 от 24 март 2020г., изм. ДВ. бр.44 от 13 май 2020г., изм. ДВ. бр.18 от 4 март 2022г., изм. ДВ. бр.66 от 1 август 2023г.) се прави следното изменение: В чл. 28: ал. 2, т.2 числото 10 се заменя с числото 15.</w:t>
            </w:r>
          </w:p>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Приема се</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Pr="001564F7" w:rsidRDefault="00DC7AD7" w:rsidP="00DC7AD7">
            <w:pPr>
              <w:spacing w:after="0" w:line="240" w:lineRule="auto"/>
              <w:jc w:val="both"/>
              <w:rPr>
                <w:rFonts w:ascii="Times New Roman" w:eastAsia="Times New Roman" w:hAnsi="Times New Roman" w:cs="Times New Roman"/>
                <w:sz w:val="20"/>
                <w:szCs w:val="20"/>
              </w:rPr>
            </w:pPr>
            <w:r w:rsidRPr="001564F7">
              <w:rPr>
                <w:rFonts w:ascii="Times New Roman" w:eastAsia="Times New Roman" w:hAnsi="Times New Roman" w:cs="Times New Roman"/>
                <w:sz w:val="20"/>
                <w:szCs w:val="20"/>
              </w:rPr>
              <w:t>В преходните и заключителните разпоредби на проекта на ЗДБРБ за 2024 г. се създава нов параграф със следното съдържание:</w:t>
            </w:r>
          </w:p>
          <w:p w:rsidR="00DC7AD7" w:rsidRPr="00914B25" w:rsidRDefault="00DC7AD7" w:rsidP="00DC7AD7">
            <w:pPr>
              <w:spacing w:after="0" w:line="240" w:lineRule="auto"/>
              <w:jc w:val="both"/>
              <w:rPr>
                <w:rFonts w:ascii="Times New Roman" w:eastAsia="Times New Roman" w:hAnsi="Times New Roman" w:cs="Times New Roman"/>
                <w:sz w:val="20"/>
                <w:szCs w:val="20"/>
                <w:lang w:val="ru-RU"/>
              </w:rPr>
            </w:pPr>
            <w:r w:rsidRPr="001564F7">
              <w:rPr>
                <w:rFonts w:ascii="Times New Roman" w:eastAsia="Times New Roman" w:hAnsi="Times New Roman" w:cs="Times New Roman"/>
                <w:sz w:val="20"/>
                <w:szCs w:val="20"/>
              </w:rPr>
              <w:t xml:space="preserve">§ … В Закона за вероизповеданията (Обн. ДВ. бр.120 от 29 декември 2002г., изм. ДВ. бр.33 от 21 април 2006г., изм. ДВ. бр.59 от 20 юли 2007г., изм. ДВ. бр.74 от 15 септември 2009г., изм. ДВ. бр.68 от 2 август 2013г., изм. ДВ. бр.61 от 11 август 2015г., изм. ДВ. бр.79 от 13 октомври 2015г., изм. и доп. ДВ. бр.108 от 29 декември 2018г., изм. и доп. ДВ. бр.29 от 8 април 2019г., изм. ДВ. бр.34 от 23 април 2019г., изм. ДВ. бр.28 от 24 март 2020г., изм. ДВ. бр.44 от 13 май 2020г., изм. ДВ. бр.18 от 4 март 2022г., изм. ДВ. бр.66 от 1 август 2023г.) се прави следното изменение: В чл. 28, ал. 2, т. 2 числото </w:t>
            </w:r>
            <w:r w:rsidRPr="00A74642">
              <w:rPr>
                <w:rFonts w:ascii="Times New Roman" w:eastAsia="Times New Roman" w:hAnsi="Times New Roman" w:cs="Times New Roman"/>
                <w:sz w:val="20"/>
                <w:szCs w:val="20"/>
                <w:lang w:val="ru-RU"/>
              </w:rPr>
              <w:t>“</w:t>
            </w:r>
            <w:r w:rsidRPr="001564F7">
              <w:rPr>
                <w:rFonts w:ascii="Times New Roman" w:eastAsia="Times New Roman" w:hAnsi="Times New Roman" w:cs="Times New Roman"/>
                <w:sz w:val="20"/>
                <w:szCs w:val="20"/>
              </w:rPr>
              <w:t>10</w:t>
            </w:r>
            <w:r w:rsidRPr="00A74642">
              <w:rPr>
                <w:rFonts w:ascii="Times New Roman" w:eastAsia="Times New Roman" w:hAnsi="Times New Roman" w:cs="Times New Roman"/>
                <w:sz w:val="20"/>
                <w:szCs w:val="20"/>
                <w:lang w:val="ru-RU"/>
              </w:rPr>
              <w:t>”</w:t>
            </w:r>
            <w:r w:rsidRPr="001564F7">
              <w:rPr>
                <w:rFonts w:ascii="Times New Roman" w:eastAsia="Times New Roman" w:hAnsi="Times New Roman" w:cs="Times New Roman"/>
                <w:sz w:val="20"/>
                <w:szCs w:val="20"/>
              </w:rPr>
              <w:t xml:space="preserve"> се заменя с числото </w:t>
            </w:r>
            <w:r w:rsidRPr="00A74642">
              <w:rPr>
                <w:rFonts w:ascii="Times New Roman" w:eastAsia="Times New Roman" w:hAnsi="Times New Roman" w:cs="Times New Roman"/>
                <w:sz w:val="20"/>
                <w:szCs w:val="20"/>
                <w:lang w:val="ru-RU"/>
              </w:rPr>
              <w:t>“</w:t>
            </w:r>
            <w:r w:rsidRPr="001564F7">
              <w:rPr>
                <w:rFonts w:ascii="Times New Roman" w:eastAsia="Times New Roman" w:hAnsi="Times New Roman" w:cs="Times New Roman"/>
                <w:sz w:val="20"/>
                <w:szCs w:val="20"/>
              </w:rPr>
              <w:t>15</w:t>
            </w:r>
            <w:r w:rsidRPr="00A74642">
              <w:rPr>
                <w:rFonts w:ascii="Times New Roman" w:eastAsia="Times New Roman" w:hAnsi="Times New Roman" w:cs="Times New Roman"/>
                <w:sz w:val="20"/>
                <w:szCs w:val="20"/>
                <w:lang w:val="ru-RU"/>
              </w:rPr>
              <w:t>”</w:t>
            </w:r>
            <w:r w:rsidRPr="001564F7">
              <w:rPr>
                <w:rFonts w:ascii="Times New Roman" w:eastAsia="Times New Roman" w:hAnsi="Times New Roman" w:cs="Times New Roman"/>
                <w:sz w:val="20"/>
                <w:szCs w:val="20"/>
              </w:rPr>
              <w:t>.</w:t>
            </w:r>
          </w:p>
        </w:tc>
      </w:tr>
      <w:tr w:rsidR="00DC7AD7" w:rsidRPr="00F62685" w:rsidTr="00A60C84">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Във връзка с това предлага държавната субсидия, предназначена за регистрираните вероизповедания за 2024 г. да е следната: </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lastRenderedPageBreak/>
              <w:t>Прогноза и разпределение на държавната субсидия за вероизповеданията с  над 5 на сто и с по-малко от 5 на сто от преброените лица /по чл. 28 от ЗВ/:</w:t>
            </w:r>
          </w:p>
          <w:tbl>
            <w:tblPr>
              <w:tblStyle w:val="TableGrid"/>
              <w:tblW w:w="0" w:type="auto"/>
              <w:tblLook w:val="04A0" w:firstRow="1" w:lastRow="0" w:firstColumn="1" w:lastColumn="0" w:noHBand="0" w:noVBand="1"/>
            </w:tblPr>
            <w:tblGrid>
              <w:gridCol w:w="369"/>
              <w:gridCol w:w="4218"/>
              <w:gridCol w:w="936"/>
            </w:tblGrid>
            <w:tr w:rsidR="00DC7AD7" w:rsidRPr="00F62685" w:rsidTr="00A029FE">
              <w:tc>
                <w:tcPr>
                  <w:tcW w:w="0" w:type="auto"/>
                  <w:vAlign w:val="bottom"/>
                </w:tcPr>
                <w:p w:rsidR="00DC7AD7" w:rsidRPr="00F62685" w:rsidRDefault="00DC7AD7" w:rsidP="005E6825">
                  <w:pPr>
                    <w:framePr w:hSpace="141" w:wrap="around" w:vAnchor="text" w:hAnchor="margin" w:y="282"/>
                    <w:spacing w:after="60"/>
                    <w:suppressOverlap/>
                    <w:jc w:val="center"/>
                    <w:rPr>
                      <w:rFonts w:ascii="Times New Roman" w:hAnsi="Times New Roman" w:cs="Times New Roman"/>
                      <w:bCs/>
                      <w:sz w:val="16"/>
                      <w:szCs w:val="16"/>
                      <w:lang w:eastAsia="es-ES_tradnl"/>
                    </w:rPr>
                  </w:pPr>
                  <w:r w:rsidRPr="00F62685">
                    <w:rPr>
                      <w:rFonts w:ascii="Times New Roman" w:hAnsi="Times New Roman" w:cs="Times New Roman"/>
                      <w:bCs/>
                      <w:sz w:val="16"/>
                      <w:szCs w:val="16"/>
                      <w:lang w:eastAsia="es-ES_tradnl"/>
                    </w:rPr>
                    <w:t>№</w:t>
                  </w:r>
                </w:p>
              </w:tc>
              <w:tc>
                <w:tcPr>
                  <w:tcW w:w="0" w:type="auto"/>
                  <w:vAlign w:val="bottom"/>
                </w:tcPr>
                <w:p w:rsidR="00DC7AD7" w:rsidRPr="00F62685" w:rsidRDefault="00DC7AD7" w:rsidP="005E6825">
                  <w:pPr>
                    <w:framePr w:hSpace="141" w:wrap="around" w:vAnchor="text" w:hAnchor="margin" w:y="282"/>
                    <w:spacing w:after="60"/>
                    <w:suppressOverlap/>
                    <w:jc w:val="center"/>
                    <w:rPr>
                      <w:rFonts w:ascii="Times New Roman" w:hAnsi="Times New Roman" w:cs="Times New Roman"/>
                      <w:bCs/>
                      <w:sz w:val="16"/>
                      <w:szCs w:val="16"/>
                      <w:lang w:eastAsia="es-ES_tradnl"/>
                    </w:rPr>
                  </w:pPr>
                  <w:r w:rsidRPr="00F62685">
                    <w:rPr>
                      <w:rFonts w:ascii="Times New Roman" w:hAnsi="Times New Roman" w:cs="Times New Roman"/>
                      <w:bCs/>
                      <w:sz w:val="16"/>
                      <w:szCs w:val="16"/>
                      <w:lang w:eastAsia="es-ES_tradnl"/>
                    </w:rPr>
                    <w:t>Наименование</w:t>
                  </w:r>
                </w:p>
              </w:tc>
              <w:tc>
                <w:tcPr>
                  <w:tcW w:w="0" w:type="auto"/>
                  <w:vAlign w:val="bottom"/>
                </w:tcPr>
                <w:p w:rsidR="00DC7AD7" w:rsidRPr="00F62685" w:rsidRDefault="00DC7AD7" w:rsidP="005E6825">
                  <w:pPr>
                    <w:framePr w:hSpace="141" w:wrap="around" w:vAnchor="text" w:hAnchor="margin" w:y="282"/>
                    <w:spacing w:after="60"/>
                    <w:suppressOverlap/>
                    <w:jc w:val="center"/>
                    <w:rPr>
                      <w:rFonts w:ascii="Times New Roman" w:hAnsi="Times New Roman" w:cs="Times New Roman"/>
                      <w:bCs/>
                      <w:sz w:val="16"/>
                      <w:szCs w:val="16"/>
                      <w:lang w:eastAsia="es-ES_tradnl"/>
                    </w:rPr>
                  </w:pPr>
                  <w:r w:rsidRPr="00F62685">
                    <w:rPr>
                      <w:rFonts w:ascii="Times New Roman" w:hAnsi="Times New Roman" w:cs="Times New Roman"/>
                      <w:bCs/>
                      <w:sz w:val="16"/>
                      <w:szCs w:val="16"/>
                      <w:lang w:eastAsia="es-ES_tradnl"/>
                    </w:rPr>
                    <w:t>Сума (лв.)</w:t>
                  </w:r>
                </w:p>
              </w:tc>
            </w:tr>
            <w:tr w:rsidR="00DC7AD7" w:rsidRPr="00F62685" w:rsidTr="00A029FE">
              <w:tc>
                <w:tcPr>
                  <w:tcW w:w="0" w:type="auto"/>
                </w:tcPr>
                <w:p w:rsidR="00DC7AD7" w:rsidRPr="00F62685" w:rsidRDefault="00DC7AD7" w:rsidP="005E6825">
                  <w:pPr>
                    <w:framePr w:hSpace="141" w:wrap="around" w:vAnchor="text" w:hAnchor="margin" w:y="282"/>
                    <w:spacing w:after="60"/>
                    <w:suppressOverlap/>
                    <w:jc w:val="right"/>
                    <w:rPr>
                      <w:rFonts w:ascii="Times New Roman" w:hAnsi="Times New Roman" w:cs="Times New Roman"/>
                      <w:sz w:val="16"/>
                      <w:szCs w:val="16"/>
                      <w:lang w:eastAsia="es-ES_tradnl"/>
                    </w:rPr>
                  </w:pPr>
                  <w:r w:rsidRPr="00F62685">
                    <w:rPr>
                      <w:rFonts w:ascii="Times New Roman" w:hAnsi="Times New Roman" w:cs="Times New Roman"/>
                      <w:sz w:val="16"/>
                      <w:szCs w:val="16"/>
                      <w:lang w:eastAsia="es-ES_tradnl"/>
                    </w:rPr>
                    <w:t>1.</w:t>
                  </w:r>
                </w:p>
              </w:tc>
              <w:tc>
                <w:tcPr>
                  <w:tcW w:w="0" w:type="auto"/>
                </w:tcPr>
                <w:p w:rsidR="00DC7AD7" w:rsidRPr="00F62685" w:rsidRDefault="00DC7AD7" w:rsidP="005E6825">
                  <w:pPr>
                    <w:framePr w:hSpace="141" w:wrap="around" w:vAnchor="text" w:hAnchor="margin" w:y="282"/>
                    <w:spacing w:after="60"/>
                    <w:suppressOverlap/>
                    <w:rPr>
                      <w:rFonts w:ascii="Times New Roman" w:hAnsi="Times New Roman" w:cs="Times New Roman"/>
                      <w:sz w:val="16"/>
                      <w:szCs w:val="16"/>
                    </w:rPr>
                  </w:pPr>
                  <w:r w:rsidRPr="00F62685">
                    <w:rPr>
                      <w:rFonts w:ascii="Times New Roman" w:hAnsi="Times New Roman" w:cs="Times New Roman"/>
                      <w:sz w:val="16"/>
                      <w:szCs w:val="16"/>
                    </w:rPr>
                    <w:t>За източноправославното изповедание – на Българската православна църква – Българска патриаршия в т. ч.</w:t>
                  </w:r>
                </w:p>
              </w:tc>
              <w:tc>
                <w:tcPr>
                  <w:tcW w:w="0" w:type="auto"/>
                </w:tcPr>
                <w:p w:rsidR="00DC7AD7" w:rsidRPr="00F62685" w:rsidRDefault="00DC7AD7" w:rsidP="005E6825">
                  <w:pPr>
                    <w:framePr w:hSpace="141" w:wrap="around" w:vAnchor="text" w:hAnchor="margin" w:y="282"/>
                    <w:spacing w:after="60"/>
                    <w:suppressOverlap/>
                    <w:jc w:val="right"/>
                    <w:rPr>
                      <w:rFonts w:ascii="Times New Roman" w:hAnsi="Times New Roman" w:cs="Times New Roman"/>
                      <w:sz w:val="16"/>
                      <w:szCs w:val="16"/>
                    </w:rPr>
                  </w:pPr>
                  <w:r w:rsidRPr="00F62685">
                    <w:rPr>
                      <w:rFonts w:ascii="Times New Roman" w:hAnsi="Times New Roman" w:cs="Times New Roman"/>
                      <w:sz w:val="16"/>
                      <w:szCs w:val="16"/>
                    </w:rPr>
                    <w:t>36 000 000</w:t>
                  </w:r>
                </w:p>
              </w:tc>
            </w:tr>
            <w:tr w:rsidR="00DC7AD7" w:rsidRPr="00F62685" w:rsidTr="00A029FE">
              <w:tc>
                <w:tcPr>
                  <w:tcW w:w="0" w:type="auto"/>
                </w:tcPr>
                <w:p w:rsidR="00DC7AD7" w:rsidRPr="00F62685" w:rsidRDefault="00DC7AD7" w:rsidP="005E6825">
                  <w:pPr>
                    <w:framePr w:hSpace="141" w:wrap="around" w:vAnchor="text" w:hAnchor="margin" w:y="282"/>
                    <w:spacing w:after="60"/>
                    <w:suppressOverlap/>
                    <w:jc w:val="right"/>
                    <w:rPr>
                      <w:rFonts w:ascii="Times New Roman" w:hAnsi="Times New Roman" w:cs="Times New Roman"/>
                      <w:sz w:val="16"/>
                      <w:szCs w:val="16"/>
                      <w:lang w:eastAsia="es-ES_tradnl"/>
                    </w:rPr>
                  </w:pPr>
                </w:p>
              </w:tc>
              <w:tc>
                <w:tcPr>
                  <w:tcW w:w="0" w:type="auto"/>
                </w:tcPr>
                <w:p w:rsidR="00DC7AD7" w:rsidRPr="00F62685" w:rsidRDefault="00DC7AD7" w:rsidP="005E6825">
                  <w:pPr>
                    <w:framePr w:hSpace="141" w:wrap="around" w:vAnchor="text" w:hAnchor="margin" w:y="282"/>
                    <w:spacing w:after="60"/>
                    <w:suppressOverlap/>
                    <w:rPr>
                      <w:rFonts w:ascii="Times New Roman" w:hAnsi="Times New Roman" w:cs="Times New Roman"/>
                      <w:i/>
                      <w:sz w:val="16"/>
                      <w:szCs w:val="16"/>
                    </w:rPr>
                  </w:pPr>
                  <w:r w:rsidRPr="00F62685">
                    <w:rPr>
                      <w:rFonts w:ascii="Times New Roman" w:hAnsi="Times New Roman" w:cs="Times New Roman"/>
                      <w:i/>
                      <w:sz w:val="16"/>
                      <w:szCs w:val="16"/>
                    </w:rPr>
                    <w:t>Рилската света обител</w:t>
                  </w:r>
                </w:p>
              </w:tc>
              <w:tc>
                <w:tcPr>
                  <w:tcW w:w="0" w:type="auto"/>
                </w:tcPr>
                <w:p w:rsidR="00DC7AD7" w:rsidRPr="00F62685" w:rsidRDefault="00DC7AD7" w:rsidP="005E6825">
                  <w:pPr>
                    <w:framePr w:hSpace="141" w:wrap="around" w:vAnchor="text" w:hAnchor="margin" w:y="282"/>
                    <w:spacing w:after="60"/>
                    <w:suppressOverlap/>
                    <w:jc w:val="right"/>
                    <w:rPr>
                      <w:rFonts w:ascii="Times New Roman" w:hAnsi="Times New Roman" w:cs="Times New Roman"/>
                      <w:sz w:val="16"/>
                      <w:szCs w:val="16"/>
                    </w:rPr>
                  </w:pPr>
                  <w:r w:rsidRPr="00F62685">
                    <w:rPr>
                      <w:rFonts w:ascii="Times New Roman" w:hAnsi="Times New Roman" w:cs="Times New Roman"/>
                      <w:sz w:val="16"/>
                      <w:szCs w:val="16"/>
                    </w:rPr>
                    <w:t xml:space="preserve">200 000 </w:t>
                  </w:r>
                </w:p>
              </w:tc>
            </w:tr>
            <w:tr w:rsidR="00DC7AD7" w:rsidRPr="00F62685" w:rsidTr="00A029FE">
              <w:tc>
                <w:tcPr>
                  <w:tcW w:w="0" w:type="auto"/>
                </w:tcPr>
                <w:p w:rsidR="00DC7AD7" w:rsidRPr="00F62685" w:rsidRDefault="00DC7AD7" w:rsidP="005E6825">
                  <w:pPr>
                    <w:framePr w:hSpace="141" w:wrap="around" w:vAnchor="text" w:hAnchor="margin" w:y="282"/>
                    <w:spacing w:after="60"/>
                    <w:suppressOverlap/>
                    <w:jc w:val="right"/>
                    <w:rPr>
                      <w:rFonts w:ascii="Times New Roman" w:hAnsi="Times New Roman" w:cs="Times New Roman"/>
                      <w:sz w:val="16"/>
                      <w:szCs w:val="16"/>
                      <w:lang w:eastAsia="es-ES_tradnl"/>
                    </w:rPr>
                  </w:pPr>
                </w:p>
              </w:tc>
              <w:tc>
                <w:tcPr>
                  <w:tcW w:w="0" w:type="auto"/>
                </w:tcPr>
                <w:p w:rsidR="00DC7AD7" w:rsidRPr="00F62685" w:rsidRDefault="00DC7AD7" w:rsidP="005E6825">
                  <w:pPr>
                    <w:framePr w:hSpace="141" w:wrap="around" w:vAnchor="text" w:hAnchor="margin" w:y="282"/>
                    <w:spacing w:after="60"/>
                    <w:suppressOverlap/>
                    <w:rPr>
                      <w:rFonts w:ascii="Times New Roman" w:hAnsi="Times New Roman" w:cs="Times New Roman"/>
                      <w:i/>
                      <w:sz w:val="16"/>
                      <w:szCs w:val="16"/>
                    </w:rPr>
                  </w:pPr>
                  <w:r w:rsidRPr="00F62685">
                    <w:rPr>
                      <w:rFonts w:ascii="Times New Roman" w:hAnsi="Times New Roman" w:cs="Times New Roman"/>
                      <w:i/>
                      <w:sz w:val="16"/>
                      <w:szCs w:val="16"/>
                    </w:rPr>
                    <w:t>Бачковски манастир</w:t>
                  </w:r>
                </w:p>
              </w:tc>
              <w:tc>
                <w:tcPr>
                  <w:tcW w:w="0" w:type="auto"/>
                </w:tcPr>
                <w:p w:rsidR="00DC7AD7" w:rsidRPr="00F62685" w:rsidRDefault="00DC7AD7" w:rsidP="005E6825">
                  <w:pPr>
                    <w:framePr w:hSpace="141" w:wrap="around" w:vAnchor="text" w:hAnchor="margin" w:y="282"/>
                    <w:spacing w:after="60"/>
                    <w:suppressOverlap/>
                    <w:jc w:val="right"/>
                    <w:rPr>
                      <w:rFonts w:ascii="Times New Roman" w:hAnsi="Times New Roman" w:cs="Times New Roman"/>
                      <w:sz w:val="16"/>
                      <w:szCs w:val="16"/>
                    </w:rPr>
                  </w:pPr>
                  <w:r w:rsidRPr="00F62685">
                    <w:rPr>
                      <w:rFonts w:ascii="Times New Roman" w:hAnsi="Times New Roman" w:cs="Times New Roman"/>
                      <w:sz w:val="16"/>
                      <w:szCs w:val="16"/>
                    </w:rPr>
                    <w:t>200 000</w:t>
                  </w:r>
                </w:p>
              </w:tc>
            </w:tr>
            <w:tr w:rsidR="00DC7AD7" w:rsidRPr="00F62685" w:rsidTr="00A029FE">
              <w:tc>
                <w:tcPr>
                  <w:tcW w:w="0" w:type="auto"/>
                </w:tcPr>
                <w:p w:rsidR="00DC7AD7" w:rsidRPr="00F62685" w:rsidRDefault="00DC7AD7" w:rsidP="005E6825">
                  <w:pPr>
                    <w:framePr w:hSpace="141" w:wrap="around" w:vAnchor="text" w:hAnchor="margin" w:y="282"/>
                    <w:spacing w:after="60"/>
                    <w:suppressOverlap/>
                    <w:jc w:val="right"/>
                    <w:rPr>
                      <w:rFonts w:ascii="Times New Roman" w:hAnsi="Times New Roman" w:cs="Times New Roman"/>
                      <w:sz w:val="16"/>
                      <w:szCs w:val="16"/>
                      <w:lang w:eastAsia="es-ES_tradnl"/>
                    </w:rPr>
                  </w:pPr>
                </w:p>
              </w:tc>
              <w:tc>
                <w:tcPr>
                  <w:tcW w:w="0" w:type="auto"/>
                </w:tcPr>
                <w:p w:rsidR="00DC7AD7" w:rsidRPr="00F62685" w:rsidRDefault="00DC7AD7" w:rsidP="005E6825">
                  <w:pPr>
                    <w:framePr w:hSpace="141" w:wrap="around" w:vAnchor="text" w:hAnchor="margin" w:y="282"/>
                    <w:spacing w:after="60"/>
                    <w:suppressOverlap/>
                    <w:rPr>
                      <w:rFonts w:ascii="Times New Roman" w:hAnsi="Times New Roman" w:cs="Times New Roman"/>
                      <w:i/>
                      <w:sz w:val="16"/>
                      <w:szCs w:val="16"/>
                    </w:rPr>
                  </w:pPr>
                  <w:r w:rsidRPr="00F62685">
                    <w:rPr>
                      <w:rFonts w:ascii="Times New Roman" w:hAnsi="Times New Roman" w:cs="Times New Roman"/>
                      <w:i/>
                      <w:sz w:val="16"/>
                      <w:szCs w:val="16"/>
                    </w:rPr>
                    <w:t>Троянски манастир</w:t>
                  </w:r>
                </w:p>
              </w:tc>
              <w:tc>
                <w:tcPr>
                  <w:tcW w:w="0" w:type="auto"/>
                </w:tcPr>
                <w:p w:rsidR="00DC7AD7" w:rsidRPr="00F62685" w:rsidRDefault="00DC7AD7" w:rsidP="005E6825">
                  <w:pPr>
                    <w:framePr w:hSpace="141" w:wrap="around" w:vAnchor="text" w:hAnchor="margin" w:y="282"/>
                    <w:spacing w:after="60"/>
                    <w:suppressOverlap/>
                    <w:jc w:val="right"/>
                    <w:rPr>
                      <w:rFonts w:ascii="Times New Roman" w:hAnsi="Times New Roman" w:cs="Times New Roman"/>
                      <w:sz w:val="16"/>
                      <w:szCs w:val="16"/>
                    </w:rPr>
                  </w:pPr>
                  <w:r w:rsidRPr="00F62685">
                    <w:rPr>
                      <w:rFonts w:ascii="Times New Roman" w:hAnsi="Times New Roman" w:cs="Times New Roman"/>
                      <w:sz w:val="16"/>
                      <w:szCs w:val="16"/>
                    </w:rPr>
                    <w:t>200 000</w:t>
                  </w:r>
                </w:p>
              </w:tc>
            </w:tr>
            <w:tr w:rsidR="00DC7AD7" w:rsidRPr="00F62685" w:rsidTr="00A029FE">
              <w:tc>
                <w:tcPr>
                  <w:tcW w:w="0" w:type="auto"/>
                </w:tcPr>
                <w:p w:rsidR="00DC7AD7" w:rsidRPr="00F62685" w:rsidRDefault="00DC7AD7" w:rsidP="005E6825">
                  <w:pPr>
                    <w:framePr w:hSpace="141" w:wrap="around" w:vAnchor="text" w:hAnchor="margin" w:y="282"/>
                    <w:spacing w:after="60"/>
                    <w:suppressOverlap/>
                    <w:jc w:val="right"/>
                    <w:rPr>
                      <w:rFonts w:ascii="Times New Roman" w:hAnsi="Times New Roman" w:cs="Times New Roman"/>
                      <w:sz w:val="16"/>
                      <w:szCs w:val="16"/>
                      <w:lang w:eastAsia="es-ES_tradnl"/>
                    </w:rPr>
                  </w:pPr>
                  <w:r w:rsidRPr="00F62685">
                    <w:rPr>
                      <w:rFonts w:ascii="Times New Roman" w:hAnsi="Times New Roman" w:cs="Times New Roman"/>
                      <w:sz w:val="16"/>
                      <w:szCs w:val="16"/>
                      <w:lang w:eastAsia="es-ES_tradnl"/>
                    </w:rPr>
                    <w:t>2.</w:t>
                  </w:r>
                </w:p>
              </w:tc>
              <w:tc>
                <w:tcPr>
                  <w:tcW w:w="0" w:type="auto"/>
                </w:tcPr>
                <w:p w:rsidR="00DC7AD7" w:rsidRPr="00F62685" w:rsidRDefault="00DC7AD7" w:rsidP="005E6825">
                  <w:pPr>
                    <w:framePr w:hSpace="141" w:wrap="around" w:vAnchor="text" w:hAnchor="margin" w:y="282"/>
                    <w:spacing w:after="60"/>
                    <w:suppressOverlap/>
                    <w:rPr>
                      <w:rFonts w:ascii="Times New Roman" w:hAnsi="Times New Roman" w:cs="Times New Roman"/>
                      <w:sz w:val="16"/>
                      <w:szCs w:val="16"/>
                    </w:rPr>
                  </w:pPr>
                  <w:r w:rsidRPr="00F62685">
                    <w:rPr>
                      <w:rFonts w:ascii="Times New Roman" w:hAnsi="Times New Roman" w:cs="Times New Roman"/>
                      <w:sz w:val="16"/>
                      <w:szCs w:val="16"/>
                    </w:rPr>
                    <w:t>За Мюсюлманското вероизповедание – на Мюсюлманското изповедание в  Република България – Главно мюфтийство</w:t>
                  </w:r>
                </w:p>
              </w:tc>
              <w:tc>
                <w:tcPr>
                  <w:tcW w:w="0" w:type="auto"/>
                </w:tcPr>
                <w:p w:rsidR="00DC7AD7" w:rsidRPr="00F62685" w:rsidRDefault="00DC7AD7" w:rsidP="005E6825">
                  <w:pPr>
                    <w:framePr w:hSpace="141" w:wrap="around" w:vAnchor="text" w:hAnchor="margin" w:y="282"/>
                    <w:spacing w:after="60"/>
                    <w:suppressOverlap/>
                    <w:jc w:val="right"/>
                    <w:rPr>
                      <w:rFonts w:ascii="Times New Roman" w:hAnsi="Times New Roman" w:cs="Times New Roman"/>
                      <w:sz w:val="16"/>
                      <w:szCs w:val="16"/>
                    </w:rPr>
                  </w:pPr>
                  <w:r w:rsidRPr="00F62685">
                    <w:rPr>
                      <w:rFonts w:ascii="Times New Roman" w:hAnsi="Times New Roman" w:cs="Times New Roman"/>
                      <w:sz w:val="16"/>
                      <w:szCs w:val="16"/>
                    </w:rPr>
                    <w:t>9 580 620</w:t>
                  </w:r>
                </w:p>
              </w:tc>
            </w:tr>
            <w:tr w:rsidR="00DC7AD7" w:rsidRPr="00F62685" w:rsidTr="00A029FE">
              <w:tc>
                <w:tcPr>
                  <w:tcW w:w="0" w:type="auto"/>
                </w:tcPr>
                <w:p w:rsidR="00DC7AD7" w:rsidRPr="00F62685" w:rsidRDefault="00DC7AD7" w:rsidP="005E6825">
                  <w:pPr>
                    <w:framePr w:hSpace="141" w:wrap="around" w:vAnchor="text" w:hAnchor="margin" w:y="282"/>
                    <w:spacing w:after="60"/>
                    <w:suppressOverlap/>
                    <w:jc w:val="right"/>
                    <w:rPr>
                      <w:rFonts w:ascii="Times New Roman" w:hAnsi="Times New Roman" w:cs="Times New Roman"/>
                      <w:sz w:val="16"/>
                      <w:szCs w:val="16"/>
                      <w:lang w:eastAsia="es-ES_tradnl"/>
                    </w:rPr>
                  </w:pPr>
                  <w:r w:rsidRPr="00F62685">
                    <w:rPr>
                      <w:rFonts w:ascii="Times New Roman" w:hAnsi="Times New Roman" w:cs="Times New Roman"/>
                      <w:sz w:val="16"/>
                      <w:szCs w:val="16"/>
                      <w:lang w:eastAsia="es-ES_tradnl"/>
                    </w:rPr>
                    <w:t>3.</w:t>
                  </w:r>
                </w:p>
              </w:tc>
              <w:tc>
                <w:tcPr>
                  <w:tcW w:w="0" w:type="auto"/>
                </w:tcPr>
                <w:p w:rsidR="00DC7AD7" w:rsidRPr="00F62685" w:rsidRDefault="00DC7AD7" w:rsidP="005E6825">
                  <w:pPr>
                    <w:framePr w:hSpace="141" w:wrap="around" w:vAnchor="text" w:hAnchor="margin" w:y="282"/>
                    <w:spacing w:after="60"/>
                    <w:suppressOverlap/>
                    <w:rPr>
                      <w:rFonts w:ascii="Times New Roman" w:hAnsi="Times New Roman" w:cs="Times New Roman"/>
                      <w:sz w:val="16"/>
                      <w:szCs w:val="16"/>
                    </w:rPr>
                  </w:pPr>
                  <w:r w:rsidRPr="00F62685">
                    <w:rPr>
                      <w:rFonts w:ascii="Times New Roman" w:hAnsi="Times New Roman" w:cs="Times New Roman"/>
                      <w:sz w:val="16"/>
                      <w:szCs w:val="16"/>
                    </w:rPr>
                    <w:t xml:space="preserve">За задграничните епархии или митрополии от </w:t>
                  </w:r>
                  <w:proofErr w:type="spellStart"/>
                  <w:r w:rsidRPr="00F62685">
                    <w:rPr>
                      <w:rFonts w:ascii="Times New Roman" w:hAnsi="Times New Roman" w:cs="Times New Roman"/>
                      <w:sz w:val="16"/>
                      <w:szCs w:val="16"/>
                    </w:rPr>
                    <w:t>диоцеза</w:t>
                  </w:r>
                  <w:proofErr w:type="spellEnd"/>
                  <w:r w:rsidRPr="00F62685">
                    <w:rPr>
                      <w:rFonts w:ascii="Times New Roman" w:hAnsi="Times New Roman" w:cs="Times New Roman"/>
                      <w:sz w:val="16"/>
                      <w:szCs w:val="16"/>
                    </w:rPr>
                    <w:t xml:space="preserve"> и юрисдикцията на Българската православна църква – Българска патриаршия – на Българската източноправославна епархия в Западна и Средна Европа</w:t>
                  </w:r>
                </w:p>
              </w:tc>
              <w:tc>
                <w:tcPr>
                  <w:tcW w:w="0" w:type="auto"/>
                </w:tcPr>
                <w:p w:rsidR="00DC7AD7" w:rsidRPr="00F62685" w:rsidRDefault="00DC7AD7" w:rsidP="005E6825">
                  <w:pPr>
                    <w:framePr w:hSpace="141" w:wrap="around" w:vAnchor="text" w:hAnchor="margin" w:y="282"/>
                    <w:spacing w:after="60"/>
                    <w:suppressOverlap/>
                    <w:jc w:val="right"/>
                    <w:rPr>
                      <w:rFonts w:ascii="Times New Roman" w:hAnsi="Times New Roman" w:cs="Times New Roman"/>
                      <w:sz w:val="16"/>
                      <w:szCs w:val="16"/>
                    </w:rPr>
                  </w:pPr>
                  <w:r w:rsidRPr="00F62685">
                    <w:rPr>
                      <w:rFonts w:ascii="Times New Roman" w:hAnsi="Times New Roman" w:cs="Times New Roman"/>
                      <w:sz w:val="16"/>
                      <w:szCs w:val="16"/>
                    </w:rPr>
                    <w:t>650 000</w:t>
                  </w:r>
                </w:p>
              </w:tc>
            </w:tr>
            <w:tr w:rsidR="00DC7AD7" w:rsidRPr="00F62685" w:rsidTr="00A029FE">
              <w:tc>
                <w:tcPr>
                  <w:tcW w:w="0" w:type="auto"/>
                </w:tcPr>
                <w:p w:rsidR="00DC7AD7" w:rsidRPr="00F62685" w:rsidRDefault="00DC7AD7" w:rsidP="005E6825">
                  <w:pPr>
                    <w:framePr w:hSpace="141" w:wrap="around" w:vAnchor="text" w:hAnchor="margin" w:y="282"/>
                    <w:spacing w:after="60"/>
                    <w:suppressOverlap/>
                    <w:jc w:val="right"/>
                    <w:rPr>
                      <w:rFonts w:ascii="Times New Roman" w:hAnsi="Times New Roman" w:cs="Times New Roman"/>
                      <w:sz w:val="16"/>
                      <w:szCs w:val="16"/>
                      <w:lang w:eastAsia="es-ES_tradnl"/>
                    </w:rPr>
                  </w:pPr>
                  <w:r w:rsidRPr="00F62685">
                    <w:rPr>
                      <w:rFonts w:ascii="Times New Roman" w:hAnsi="Times New Roman" w:cs="Times New Roman"/>
                      <w:sz w:val="16"/>
                      <w:szCs w:val="16"/>
                      <w:lang w:eastAsia="es-ES_tradnl"/>
                    </w:rPr>
                    <w:t>4.</w:t>
                  </w:r>
                </w:p>
              </w:tc>
              <w:tc>
                <w:tcPr>
                  <w:tcW w:w="0" w:type="auto"/>
                </w:tcPr>
                <w:p w:rsidR="00DC7AD7" w:rsidRPr="00F62685" w:rsidRDefault="00DC7AD7" w:rsidP="005E6825">
                  <w:pPr>
                    <w:framePr w:hSpace="141" w:wrap="around" w:vAnchor="text" w:hAnchor="margin" w:y="282"/>
                    <w:spacing w:after="60"/>
                    <w:suppressOverlap/>
                    <w:rPr>
                      <w:rFonts w:ascii="Times New Roman" w:hAnsi="Times New Roman" w:cs="Times New Roman"/>
                      <w:sz w:val="16"/>
                      <w:szCs w:val="16"/>
                    </w:rPr>
                  </w:pPr>
                  <w:r w:rsidRPr="00F62685">
                    <w:rPr>
                      <w:rFonts w:ascii="Times New Roman" w:hAnsi="Times New Roman" w:cs="Times New Roman"/>
                      <w:sz w:val="16"/>
                      <w:szCs w:val="16"/>
                    </w:rPr>
                    <w:t>За българските православни църковни общини в чужбина</w:t>
                  </w:r>
                </w:p>
              </w:tc>
              <w:tc>
                <w:tcPr>
                  <w:tcW w:w="0" w:type="auto"/>
                </w:tcPr>
                <w:p w:rsidR="00DC7AD7" w:rsidRPr="00F62685" w:rsidRDefault="00DC7AD7" w:rsidP="005E6825">
                  <w:pPr>
                    <w:framePr w:hSpace="141" w:wrap="around" w:vAnchor="text" w:hAnchor="margin" w:y="282"/>
                    <w:spacing w:after="60"/>
                    <w:suppressOverlap/>
                    <w:jc w:val="right"/>
                    <w:rPr>
                      <w:rFonts w:ascii="Times New Roman" w:hAnsi="Times New Roman" w:cs="Times New Roman"/>
                      <w:sz w:val="16"/>
                      <w:szCs w:val="16"/>
                    </w:rPr>
                  </w:pPr>
                  <w:r w:rsidRPr="00F62685">
                    <w:rPr>
                      <w:rFonts w:ascii="Times New Roman" w:hAnsi="Times New Roman" w:cs="Times New Roman"/>
                      <w:sz w:val="16"/>
                      <w:szCs w:val="16"/>
                    </w:rPr>
                    <w:t>750 000</w:t>
                  </w:r>
                </w:p>
              </w:tc>
            </w:tr>
            <w:tr w:rsidR="00DC7AD7" w:rsidRPr="00F62685" w:rsidTr="00A029FE">
              <w:tc>
                <w:tcPr>
                  <w:tcW w:w="0" w:type="auto"/>
                </w:tcPr>
                <w:p w:rsidR="00DC7AD7" w:rsidRPr="00F62685" w:rsidRDefault="00DC7AD7" w:rsidP="005E6825">
                  <w:pPr>
                    <w:framePr w:hSpace="141" w:wrap="around" w:vAnchor="text" w:hAnchor="margin" w:y="282"/>
                    <w:spacing w:after="60"/>
                    <w:suppressOverlap/>
                    <w:jc w:val="right"/>
                    <w:rPr>
                      <w:rFonts w:ascii="Times New Roman" w:hAnsi="Times New Roman" w:cs="Times New Roman"/>
                      <w:sz w:val="16"/>
                      <w:szCs w:val="16"/>
                      <w:lang w:eastAsia="es-ES_tradnl"/>
                    </w:rPr>
                  </w:pPr>
                  <w:r w:rsidRPr="00F62685">
                    <w:rPr>
                      <w:rFonts w:ascii="Times New Roman" w:hAnsi="Times New Roman" w:cs="Times New Roman"/>
                      <w:sz w:val="16"/>
                      <w:szCs w:val="16"/>
                      <w:lang w:eastAsia="es-ES_tradnl"/>
                    </w:rPr>
                    <w:t>5.</w:t>
                  </w:r>
                </w:p>
              </w:tc>
              <w:tc>
                <w:tcPr>
                  <w:tcW w:w="0" w:type="auto"/>
                </w:tcPr>
                <w:p w:rsidR="00DC7AD7" w:rsidRPr="00F62685" w:rsidRDefault="00DC7AD7" w:rsidP="005E6825">
                  <w:pPr>
                    <w:framePr w:hSpace="141" w:wrap="around" w:vAnchor="text" w:hAnchor="margin" w:y="282"/>
                    <w:spacing w:after="60"/>
                    <w:suppressOverlap/>
                    <w:rPr>
                      <w:rFonts w:ascii="Times New Roman" w:hAnsi="Times New Roman" w:cs="Times New Roman"/>
                      <w:sz w:val="16"/>
                      <w:szCs w:val="16"/>
                    </w:rPr>
                  </w:pPr>
                  <w:r w:rsidRPr="00F62685">
                    <w:rPr>
                      <w:rFonts w:ascii="Times New Roman" w:hAnsi="Times New Roman" w:cs="Times New Roman"/>
                      <w:sz w:val="16"/>
                      <w:szCs w:val="16"/>
                    </w:rPr>
                    <w:t xml:space="preserve">За Католическата църква в Република България </w:t>
                  </w:r>
                </w:p>
              </w:tc>
              <w:tc>
                <w:tcPr>
                  <w:tcW w:w="0" w:type="auto"/>
                </w:tcPr>
                <w:p w:rsidR="00DC7AD7" w:rsidRPr="00F62685" w:rsidRDefault="00DC7AD7" w:rsidP="005E6825">
                  <w:pPr>
                    <w:framePr w:hSpace="141" w:wrap="around" w:vAnchor="text" w:hAnchor="margin" w:y="282"/>
                    <w:spacing w:after="60"/>
                    <w:suppressOverlap/>
                    <w:jc w:val="right"/>
                    <w:rPr>
                      <w:rFonts w:ascii="Times New Roman" w:hAnsi="Times New Roman" w:cs="Times New Roman"/>
                      <w:sz w:val="16"/>
                      <w:szCs w:val="16"/>
                    </w:rPr>
                  </w:pPr>
                  <w:r w:rsidRPr="00F62685">
                    <w:rPr>
                      <w:rFonts w:ascii="Times New Roman" w:hAnsi="Times New Roman" w:cs="Times New Roman"/>
                      <w:sz w:val="16"/>
                      <w:szCs w:val="16"/>
                    </w:rPr>
                    <w:t>580 635</w:t>
                  </w:r>
                </w:p>
              </w:tc>
            </w:tr>
            <w:tr w:rsidR="00DC7AD7" w:rsidRPr="00F62685" w:rsidTr="00A029FE">
              <w:tc>
                <w:tcPr>
                  <w:tcW w:w="0" w:type="auto"/>
                </w:tcPr>
                <w:p w:rsidR="00DC7AD7" w:rsidRPr="00F62685" w:rsidRDefault="00DC7AD7" w:rsidP="005E6825">
                  <w:pPr>
                    <w:framePr w:hSpace="141" w:wrap="around" w:vAnchor="text" w:hAnchor="margin" w:y="282"/>
                    <w:spacing w:after="60"/>
                    <w:suppressOverlap/>
                    <w:jc w:val="right"/>
                    <w:rPr>
                      <w:rFonts w:ascii="Times New Roman" w:hAnsi="Times New Roman" w:cs="Times New Roman"/>
                      <w:sz w:val="16"/>
                      <w:szCs w:val="16"/>
                      <w:lang w:eastAsia="es-ES_tradnl"/>
                    </w:rPr>
                  </w:pPr>
                  <w:r w:rsidRPr="00F62685">
                    <w:rPr>
                      <w:rFonts w:ascii="Times New Roman" w:hAnsi="Times New Roman" w:cs="Times New Roman"/>
                      <w:sz w:val="16"/>
                      <w:szCs w:val="16"/>
                      <w:lang w:eastAsia="es-ES_tradnl"/>
                    </w:rPr>
                    <w:t>6.</w:t>
                  </w:r>
                </w:p>
              </w:tc>
              <w:tc>
                <w:tcPr>
                  <w:tcW w:w="0" w:type="auto"/>
                </w:tcPr>
                <w:p w:rsidR="00DC7AD7" w:rsidRPr="00F62685" w:rsidRDefault="00DC7AD7" w:rsidP="005E6825">
                  <w:pPr>
                    <w:framePr w:hSpace="141" w:wrap="around" w:vAnchor="text" w:hAnchor="margin" w:y="282"/>
                    <w:spacing w:after="60"/>
                    <w:suppressOverlap/>
                    <w:rPr>
                      <w:rFonts w:ascii="Times New Roman" w:hAnsi="Times New Roman" w:cs="Times New Roman"/>
                      <w:sz w:val="16"/>
                      <w:szCs w:val="16"/>
                    </w:rPr>
                  </w:pPr>
                  <w:r w:rsidRPr="00F62685">
                    <w:rPr>
                      <w:rFonts w:ascii="Times New Roman" w:hAnsi="Times New Roman" w:cs="Times New Roman"/>
                      <w:sz w:val="16"/>
                      <w:szCs w:val="16"/>
                    </w:rPr>
                    <w:t>За протестантските вероизповедания</w:t>
                  </w:r>
                </w:p>
              </w:tc>
              <w:tc>
                <w:tcPr>
                  <w:tcW w:w="0" w:type="auto"/>
                </w:tcPr>
                <w:p w:rsidR="00DC7AD7" w:rsidRPr="00F62685" w:rsidRDefault="00DC7AD7" w:rsidP="005E6825">
                  <w:pPr>
                    <w:framePr w:hSpace="141" w:wrap="around" w:vAnchor="text" w:hAnchor="margin" w:y="282"/>
                    <w:spacing w:after="60"/>
                    <w:suppressOverlap/>
                    <w:jc w:val="right"/>
                    <w:rPr>
                      <w:rFonts w:ascii="Times New Roman" w:hAnsi="Times New Roman" w:cs="Times New Roman"/>
                      <w:sz w:val="16"/>
                      <w:szCs w:val="16"/>
                    </w:rPr>
                  </w:pPr>
                  <w:r w:rsidRPr="00F62685">
                    <w:rPr>
                      <w:rFonts w:ascii="Times New Roman" w:hAnsi="Times New Roman" w:cs="Times New Roman"/>
                      <w:sz w:val="16"/>
                      <w:szCs w:val="16"/>
                    </w:rPr>
                    <w:t>1 047 780</w:t>
                  </w:r>
                </w:p>
              </w:tc>
            </w:tr>
            <w:tr w:rsidR="00DC7AD7" w:rsidRPr="00F62685" w:rsidTr="00A029FE">
              <w:tc>
                <w:tcPr>
                  <w:tcW w:w="0" w:type="auto"/>
                </w:tcPr>
                <w:p w:rsidR="00DC7AD7" w:rsidRPr="00F62685" w:rsidRDefault="00DC7AD7" w:rsidP="005E6825">
                  <w:pPr>
                    <w:framePr w:hSpace="141" w:wrap="around" w:vAnchor="text" w:hAnchor="margin" w:y="282"/>
                    <w:spacing w:after="60"/>
                    <w:suppressOverlap/>
                    <w:jc w:val="right"/>
                    <w:rPr>
                      <w:rFonts w:ascii="Times New Roman" w:hAnsi="Times New Roman" w:cs="Times New Roman"/>
                      <w:sz w:val="16"/>
                      <w:szCs w:val="16"/>
                      <w:lang w:eastAsia="es-ES_tradnl"/>
                    </w:rPr>
                  </w:pPr>
                  <w:r w:rsidRPr="00F62685">
                    <w:rPr>
                      <w:rFonts w:ascii="Times New Roman" w:hAnsi="Times New Roman" w:cs="Times New Roman"/>
                      <w:sz w:val="16"/>
                      <w:szCs w:val="16"/>
                      <w:lang w:eastAsia="es-ES_tradnl"/>
                    </w:rPr>
                    <w:t>7.</w:t>
                  </w:r>
                </w:p>
              </w:tc>
              <w:tc>
                <w:tcPr>
                  <w:tcW w:w="0" w:type="auto"/>
                </w:tcPr>
                <w:p w:rsidR="00DC7AD7" w:rsidRPr="00F62685" w:rsidRDefault="00DC7AD7" w:rsidP="005E6825">
                  <w:pPr>
                    <w:framePr w:hSpace="141" w:wrap="around" w:vAnchor="text" w:hAnchor="margin" w:y="282"/>
                    <w:spacing w:after="60"/>
                    <w:suppressOverlap/>
                    <w:rPr>
                      <w:rFonts w:ascii="Times New Roman" w:hAnsi="Times New Roman" w:cs="Times New Roman"/>
                      <w:sz w:val="16"/>
                      <w:szCs w:val="16"/>
                    </w:rPr>
                  </w:pPr>
                  <w:r w:rsidRPr="00F62685">
                    <w:rPr>
                      <w:rFonts w:ascii="Times New Roman" w:hAnsi="Times New Roman" w:cs="Times New Roman"/>
                      <w:sz w:val="16"/>
                      <w:szCs w:val="16"/>
                    </w:rPr>
                    <w:t>За Религиозната общност на евреите в Република България</w:t>
                  </w:r>
                </w:p>
              </w:tc>
              <w:tc>
                <w:tcPr>
                  <w:tcW w:w="0" w:type="auto"/>
                </w:tcPr>
                <w:p w:rsidR="00DC7AD7" w:rsidRPr="00F62685" w:rsidRDefault="00DC7AD7" w:rsidP="005E6825">
                  <w:pPr>
                    <w:framePr w:hSpace="141" w:wrap="around" w:vAnchor="text" w:hAnchor="margin" w:y="282"/>
                    <w:spacing w:after="60"/>
                    <w:suppressOverlap/>
                    <w:jc w:val="right"/>
                    <w:rPr>
                      <w:rFonts w:ascii="Times New Roman" w:hAnsi="Times New Roman" w:cs="Times New Roman"/>
                      <w:sz w:val="16"/>
                      <w:szCs w:val="16"/>
                    </w:rPr>
                  </w:pPr>
                  <w:r w:rsidRPr="00F62685">
                    <w:rPr>
                      <w:rFonts w:ascii="Times New Roman" w:hAnsi="Times New Roman" w:cs="Times New Roman"/>
                      <w:sz w:val="16"/>
                      <w:szCs w:val="16"/>
                    </w:rPr>
                    <w:t>70 000</w:t>
                  </w:r>
                </w:p>
              </w:tc>
            </w:tr>
            <w:tr w:rsidR="00DC7AD7" w:rsidRPr="00F62685" w:rsidTr="00A029FE">
              <w:tc>
                <w:tcPr>
                  <w:tcW w:w="0" w:type="auto"/>
                </w:tcPr>
                <w:p w:rsidR="00DC7AD7" w:rsidRPr="00F62685" w:rsidRDefault="00DC7AD7" w:rsidP="005E6825">
                  <w:pPr>
                    <w:framePr w:hSpace="141" w:wrap="around" w:vAnchor="text" w:hAnchor="margin" w:y="282"/>
                    <w:spacing w:after="60"/>
                    <w:suppressOverlap/>
                    <w:jc w:val="right"/>
                    <w:rPr>
                      <w:rFonts w:ascii="Times New Roman" w:hAnsi="Times New Roman" w:cs="Times New Roman"/>
                      <w:sz w:val="16"/>
                      <w:szCs w:val="16"/>
                      <w:lang w:eastAsia="es-ES_tradnl"/>
                    </w:rPr>
                  </w:pPr>
                  <w:r w:rsidRPr="00F62685">
                    <w:rPr>
                      <w:rFonts w:ascii="Times New Roman" w:hAnsi="Times New Roman" w:cs="Times New Roman"/>
                      <w:sz w:val="16"/>
                      <w:szCs w:val="16"/>
                      <w:lang w:eastAsia="es-ES_tradnl"/>
                    </w:rPr>
                    <w:t>8.</w:t>
                  </w:r>
                </w:p>
              </w:tc>
              <w:tc>
                <w:tcPr>
                  <w:tcW w:w="0" w:type="auto"/>
                </w:tcPr>
                <w:p w:rsidR="00DC7AD7" w:rsidRPr="00F62685" w:rsidRDefault="00DC7AD7" w:rsidP="005E6825">
                  <w:pPr>
                    <w:framePr w:hSpace="141" w:wrap="around" w:vAnchor="text" w:hAnchor="margin" w:y="282"/>
                    <w:spacing w:after="60"/>
                    <w:suppressOverlap/>
                    <w:rPr>
                      <w:rFonts w:ascii="Times New Roman" w:hAnsi="Times New Roman" w:cs="Times New Roman"/>
                      <w:sz w:val="16"/>
                      <w:szCs w:val="16"/>
                    </w:rPr>
                  </w:pPr>
                  <w:r w:rsidRPr="00F62685">
                    <w:rPr>
                      <w:rFonts w:ascii="Times New Roman" w:hAnsi="Times New Roman" w:cs="Times New Roman"/>
                      <w:sz w:val="16"/>
                      <w:szCs w:val="16"/>
                    </w:rPr>
                    <w:t xml:space="preserve">За Арменската </w:t>
                  </w:r>
                  <w:proofErr w:type="spellStart"/>
                  <w:r w:rsidRPr="00F62685">
                    <w:rPr>
                      <w:rFonts w:ascii="Times New Roman" w:hAnsi="Times New Roman" w:cs="Times New Roman"/>
                      <w:sz w:val="16"/>
                      <w:szCs w:val="16"/>
                    </w:rPr>
                    <w:t>Апостолическа</w:t>
                  </w:r>
                  <w:proofErr w:type="spellEnd"/>
                  <w:r w:rsidRPr="00F62685">
                    <w:rPr>
                      <w:rFonts w:ascii="Times New Roman" w:hAnsi="Times New Roman" w:cs="Times New Roman"/>
                      <w:sz w:val="16"/>
                      <w:szCs w:val="16"/>
                    </w:rPr>
                    <w:t xml:space="preserve"> православна света църква </w:t>
                  </w:r>
                </w:p>
              </w:tc>
              <w:tc>
                <w:tcPr>
                  <w:tcW w:w="0" w:type="auto"/>
                </w:tcPr>
                <w:p w:rsidR="00DC7AD7" w:rsidRPr="00F62685" w:rsidRDefault="00DC7AD7" w:rsidP="005E6825">
                  <w:pPr>
                    <w:framePr w:hSpace="141" w:wrap="around" w:vAnchor="text" w:hAnchor="margin" w:y="282"/>
                    <w:spacing w:after="60"/>
                    <w:suppressOverlap/>
                    <w:jc w:val="right"/>
                    <w:rPr>
                      <w:rFonts w:ascii="Times New Roman" w:hAnsi="Times New Roman" w:cs="Times New Roman"/>
                      <w:sz w:val="16"/>
                      <w:szCs w:val="16"/>
                    </w:rPr>
                  </w:pPr>
                  <w:r w:rsidRPr="00F62685">
                    <w:rPr>
                      <w:rFonts w:ascii="Times New Roman" w:hAnsi="Times New Roman" w:cs="Times New Roman"/>
                      <w:sz w:val="16"/>
                      <w:szCs w:val="16"/>
                    </w:rPr>
                    <w:t>75 030</w:t>
                  </w:r>
                </w:p>
              </w:tc>
            </w:tr>
            <w:tr w:rsidR="00DC7AD7" w:rsidRPr="00F62685" w:rsidTr="00A029FE">
              <w:tc>
                <w:tcPr>
                  <w:tcW w:w="0" w:type="auto"/>
                  <w:vAlign w:val="bottom"/>
                </w:tcPr>
                <w:p w:rsidR="00DC7AD7" w:rsidRPr="00F62685" w:rsidRDefault="00DC7AD7" w:rsidP="005E6825">
                  <w:pPr>
                    <w:framePr w:hSpace="141" w:wrap="around" w:vAnchor="text" w:hAnchor="margin" w:y="282"/>
                    <w:spacing w:after="60"/>
                    <w:suppressOverlap/>
                    <w:jc w:val="right"/>
                    <w:rPr>
                      <w:rFonts w:ascii="Times New Roman" w:hAnsi="Times New Roman" w:cs="Times New Roman"/>
                      <w:sz w:val="16"/>
                      <w:szCs w:val="16"/>
                      <w:lang w:eastAsia="es-ES_tradnl"/>
                    </w:rPr>
                  </w:pPr>
                </w:p>
              </w:tc>
              <w:tc>
                <w:tcPr>
                  <w:tcW w:w="0" w:type="auto"/>
                  <w:vAlign w:val="bottom"/>
                </w:tcPr>
                <w:p w:rsidR="00DC7AD7" w:rsidRPr="00F62685" w:rsidRDefault="00DC7AD7" w:rsidP="005E6825">
                  <w:pPr>
                    <w:framePr w:hSpace="141" w:wrap="around" w:vAnchor="text" w:hAnchor="margin" w:y="282"/>
                    <w:spacing w:after="60"/>
                    <w:suppressOverlap/>
                    <w:rPr>
                      <w:rFonts w:ascii="Times New Roman" w:hAnsi="Times New Roman" w:cs="Times New Roman"/>
                      <w:bCs/>
                      <w:sz w:val="16"/>
                      <w:szCs w:val="16"/>
                      <w:lang w:eastAsia="es-ES_tradnl"/>
                    </w:rPr>
                  </w:pPr>
                  <w:r w:rsidRPr="00F62685">
                    <w:rPr>
                      <w:rFonts w:ascii="Times New Roman" w:hAnsi="Times New Roman" w:cs="Times New Roman"/>
                      <w:bCs/>
                      <w:sz w:val="16"/>
                      <w:szCs w:val="16"/>
                      <w:lang w:eastAsia="es-ES_tradnl"/>
                    </w:rPr>
                    <w:t>Всичко:</w:t>
                  </w:r>
                </w:p>
              </w:tc>
              <w:tc>
                <w:tcPr>
                  <w:tcW w:w="0" w:type="auto"/>
                  <w:vAlign w:val="bottom"/>
                </w:tcPr>
                <w:p w:rsidR="00DC7AD7" w:rsidRPr="00F62685" w:rsidRDefault="00DC7AD7" w:rsidP="005E6825">
                  <w:pPr>
                    <w:framePr w:hSpace="141" w:wrap="around" w:vAnchor="text" w:hAnchor="margin" w:y="282"/>
                    <w:spacing w:after="60"/>
                    <w:suppressOverlap/>
                    <w:jc w:val="right"/>
                    <w:rPr>
                      <w:rFonts w:ascii="Times New Roman" w:hAnsi="Times New Roman" w:cs="Times New Roman"/>
                      <w:bCs/>
                      <w:sz w:val="16"/>
                      <w:szCs w:val="16"/>
                      <w:lang w:eastAsia="es-ES_tradnl"/>
                    </w:rPr>
                  </w:pPr>
                  <w:r w:rsidRPr="00F62685">
                    <w:rPr>
                      <w:rFonts w:ascii="Times New Roman" w:hAnsi="Times New Roman" w:cs="Times New Roman"/>
                      <w:bCs/>
                      <w:sz w:val="16"/>
                      <w:szCs w:val="16"/>
                      <w:lang w:eastAsia="es-ES_tradnl"/>
                    </w:rPr>
                    <w:t>48 754 065</w:t>
                  </w:r>
                </w:p>
              </w:tc>
            </w:tr>
          </w:tbl>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Приема се</w:t>
            </w:r>
          </w:p>
        </w:tc>
        <w:tc>
          <w:tcPr>
            <w:tcW w:w="1617" w:type="pct"/>
            <w:shd w:val="clear" w:color="auto" w:fill="auto"/>
          </w:tcPr>
          <w:p w:rsidR="00DC7AD7" w:rsidRPr="004D0A80" w:rsidRDefault="00DC7AD7" w:rsidP="00DC7AD7">
            <w:pPr>
              <w:spacing w:after="0" w:line="240" w:lineRule="auto"/>
              <w:jc w:val="both"/>
              <w:rPr>
                <w:rFonts w:ascii="Times New Roman" w:eastAsia="Times New Roman" w:hAnsi="Times New Roman" w:cs="Times New Roman"/>
                <w:sz w:val="20"/>
                <w:szCs w:val="20"/>
              </w:rPr>
            </w:pPr>
            <w:r w:rsidRPr="004D0A80">
              <w:rPr>
                <w:rFonts w:ascii="Times New Roman" w:eastAsia="Times New Roman" w:hAnsi="Times New Roman" w:cs="Times New Roman"/>
                <w:sz w:val="20"/>
                <w:szCs w:val="20"/>
              </w:rPr>
              <w:t>Отразено е в чл. 6 на проекта на ЗДБРБ за 2024 г.</w:t>
            </w:r>
          </w:p>
          <w:p w:rsidR="00DC7AD7" w:rsidRPr="004D0A80"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A60C84">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Предлага, във връзка с чл. 35, т. 2 (Подпомага Министерския съвет при осъществяване на държавната политика на поддържане на търпимост и уважение между различните вероизповедания), без да се променя макрорамката на средствата по програма „Вероизповедания“ по чл. 6, ал. 4 от ЗДБ, да се направи следното преструктуриране: от т. 4. „средства за българските православни църковни общини в чужбина“ да се прехвърлят като нова т. 9 от чл. 6, ал. 4 – средства в размер на  40 000 лв., предназначени за насърчаване на инициативи за развитие на </w:t>
            </w:r>
            <w:proofErr w:type="spellStart"/>
            <w:r w:rsidRPr="00F62685">
              <w:rPr>
                <w:rFonts w:ascii="Times New Roman" w:eastAsia="Times New Roman" w:hAnsi="Times New Roman" w:cs="Times New Roman"/>
                <w:sz w:val="20"/>
                <w:szCs w:val="20"/>
              </w:rPr>
              <w:t>междуцърковния</w:t>
            </w:r>
            <w:proofErr w:type="spellEnd"/>
            <w:r w:rsidRPr="00F62685">
              <w:rPr>
                <w:rFonts w:ascii="Times New Roman" w:eastAsia="Times New Roman" w:hAnsi="Times New Roman" w:cs="Times New Roman"/>
                <w:sz w:val="20"/>
                <w:szCs w:val="20"/>
              </w:rPr>
              <w:t xml:space="preserve"> диалог, търпимост между изповеданията, превенция на дискриминацията и издаване на религиозна литература. (Такова перо по програма „Вероизповедания“ винаги е залягало в Закона за държавния бюджет от 2003 до 2019 г. включително.)</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Не се приема</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4D0A80" w:rsidRDefault="00DC7AD7" w:rsidP="00DC7AD7">
            <w:pPr>
              <w:spacing w:after="0" w:line="240" w:lineRule="auto"/>
              <w:jc w:val="both"/>
              <w:rPr>
                <w:rFonts w:ascii="Times New Roman" w:eastAsia="Times New Roman" w:hAnsi="Times New Roman" w:cs="Times New Roman"/>
                <w:sz w:val="20"/>
                <w:szCs w:val="20"/>
              </w:rPr>
            </w:pPr>
            <w:r w:rsidRPr="004D0A80">
              <w:rPr>
                <w:rFonts w:ascii="Times New Roman" w:eastAsia="Times New Roman" w:hAnsi="Times New Roman" w:cs="Times New Roman"/>
                <w:sz w:val="20"/>
                <w:szCs w:val="20"/>
              </w:rPr>
              <w:t xml:space="preserve">Включването в разпределението на държавната субсидия за регистрираните вероизповедания в Република България за 2024 г. на субсидия, предназначена за </w:t>
            </w:r>
            <w:r w:rsidRPr="004D0A80">
              <w:rPr>
                <w:rFonts w:ascii="Times New Roman" w:eastAsia="Times New Roman" w:hAnsi="Times New Roman" w:cs="Times New Roman"/>
                <w:color w:val="000000"/>
                <w:sz w:val="20"/>
                <w:szCs w:val="20"/>
                <w:shd w:val="clear" w:color="auto" w:fill="FFFFFF"/>
                <w:lang w:eastAsia="bg-BG" w:bidi="bg-BG"/>
              </w:rPr>
              <w:t xml:space="preserve"> </w:t>
            </w:r>
            <w:r w:rsidRPr="004D0A80">
              <w:rPr>
                <w:rFonts w:ascii="Times New Roman" w:eastAsia="Times New Roman" w:hAnsi="Times New Roman" w:cs="Times New Roman"/>
                <w:sz w:val="20"/>
                <w:szCs w:val="20"/>
              </w:rPr>
              <w:t xml:space="preserve">насърчаване на инициативи за развитие на </w:t>
            </w:r>
            <w:proofErr w:type="spellStart"/>
            <w:r w:rsidRPr="004D0A80">
              <w:rPr>
                <w:rFonts w:ascii="Times New Roman" w:eastAsia="Times New Roman" w:hAnsi="Times New Roman" w:cs="Times New Roman"/>
                <w:sz w:val="20"/>
                <w:szCs w:val="20"/>
              </w:rPr>
              <w:t>междуцърковния</w:t>
            </w:r>
            <w:proofErr w:type="spellEnd"/>
            <w:r w:rsidRPr="004D0A80">
              <w:rPr>
                <w:rFonts w:ascii="Times New Roman" w:eastAsia="Times New Roman" w:hAnsi="Times New Roman" w:cs="Times New Roman"/>
                <w:sz w:val="20"/>
                <w:szCs w:val="20"/>
              </w:rPr>
              <w:t xml:space="preserve"> диалог, търпимост между изповеданията, превенция на дискриминацията и издаване на религиозна литература</w:t>
            </w:r>
            <w:r w:rsidRPr="004D0A80">
              <w:rPr>
                <w:rFonts w:ascii="Times New Roman" w:eastAsia="Times New Roman" w:hAnsi="Times New Roman" w:cs="Times New Roman"/>
                <w:color w:val="000000"/>
                <w:sz w:val="20"/>
                <w:szCs w:val="20"/>
                <w:shd w:val="clear" w:color="auto" w:fill="FFFFFF"/>
                <w:lang w:eastAsia="bg-BG" w:bidi="bg-BG"/>
              </w:rPr>
              <w:t xml:space="preserve"> не кореспондира с разпоредбите на чл. 28 от Закона за вероизповеданията, които уреждат реда и условията за разпределение на </w:t>
            </w:r>
            <w:r w:rsidRPr="004D0A80">
              <w:rPr>
                <w:rFonts w:ascii="Times New Roman" w:eastAsia="Times New Roman" w:hAnsi="Times New Roman" w:cs="Times New Roman"/>
                <w:sz w:val="20"/>
                <w:szCs w:val="20"/>
              </w:rPr>
              <w:t xml:space="preserve"> държавната субсидия за регистрираните вероизповедания в Република България.</w:t>
            </w:r>
          </w:p>
          <w:p w:rsidR="00DC7AD7" w:rsidRPr="004D0A80"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A60C84">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От средствата, предвидени за БПЦО, в размер на 750 000 лв., 60 000 лв. да бъдат прехвърлени по чл. 6, ал. 4, т. 3. Същото е необходимо, поради откриването на нови църковни общини и инфлационните процеси.</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Приема се</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4D0A80" w:rsidRDefault="00DC7AD7" w:rsidP="00DC7AD7">
            <w:pPr>
              <w:spacing w:after="0" w:line="240" w:lineRule="auto"/>
              <w:jc w:val="both"/>
              <w:rPr>
                <w:rFonts w:ascii="Times New Roman" w:eastAsia="Times New Roman" w:hAnsi="Times New Roman" w:cs="Times New Roman"/>
                <w:sz w:val="20"/>
                <w:szCs w:val="20"/>
              </w:rPr>
            </w:pPr>
            <w:r w:rsidRPr="004D0A80">
              <w:rPr>
                <w:rFonts w:ascii="Times New Roman" w:eastAsia="Times New Roman" w:hAnsi="Times New Roman" w:cs="Times New Roman"/>
                <w:sz w:val="20"/>
                <w:szCs w:val="20"/>
              </w:rPr>
              <w:t xml:space="preserve">Отразено е в проекта на ЗДБРБ за 2024 г. в чл. 6, ал. 4, т. 3 и 4. </w:t>
            </w:r>
          </w:p>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A60C84">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Предлага да се включи към чл. 1, ал. 5 от проектозакона за държавния бюджет на област „Вероизповедания“, в която да бъдат включени приоритетно два обекта в обществен интерес, свързани с религиозните ценности, а именно:</w:t>
            </w:r>
          </w:p>
          <w:p w:rsidR="00DC7AD7" w:rsidRPr="00F62685" w:rsidRDefault="00DC7AD7" w:rsidP="00097BFC">
            <w:pPr>
              <w:spacing w:after="60" w:line="240" w:lineRule="auto"/>
              <w:jc w:val="both"/>
              <w:rPr>
                <w:rFonts w:ascii="Times New Roman" w:eastAsia="Times New Roman" w:hAnsi="Times New Roman" w:cs="Times New Roman"/>
                <w:b/>
                <w:sz w:val="20"/>
                <w:szCs w:val="20"/>
              </w:rPr>
            </w:pP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E305D6" w:rsidRPr="00F62685" w:rsidTr="00A60C84">
        <w:trPr>
          <w:trHeight w:val="64"/>
        </w:trPr>
        <w:tc>
          <w:tcPr>
            <w:tcW w:w="941" w:type="pct"/>
            <w:shd w:val="clear" w:color="auto" w:fill="auto"/>
          </w:tcPr>
          <w:p w:rsidR="00E305D6" w:rsidRPr="00F62685" w:rsidRDefault="00E305D6" w:rsidP="00E305D6">
            <w:pPr>
              <w:spacing w:after="0" w:line="240" w:lineRule="auto"/>
              <w:rPr>
                <w:rFonts w:ascii="Times New Roman" w:eastAsia="Times New Roman" w:hAnsi="Times New Roman" w:cs="Times New Roman"/>
                <w:b/>
                <w:sz w:val="20"/>
                <w:szCs w:val="20"/>
              </w:rPr>
            </w:pPr>
          </w:p>
        </w:tc>
        <w:tc>
          <w:tcPr>
            <w:tcW w:w="1868" w:type="pct"/>
            <w:shd w:val="clear" w:color="auto" w:fill="auto"/>
          </w:tcPr>
          <w:p w:rsidR="00E305D6" w:rsidRPr="00F62685" w:rsidRDefault="00E305D6" w:rsidP="00E305D6">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1. Доизграждането на „Св. </w:t>
            </w:r>
            <w:proofErr w:type="spellStart"/>
            <w:r w:rsidRPr="00F62685">
              <w:rPr>
                <w:rFonts w:ascii="Times New Roman" w:eastAsia="Times New Roman" w:hAnsi="Times New Roman" w:cs="Times New Roman"/>
                <w:sz w:val="20"/>
                <w:szCs w:val="20"/>
              </w:rPr>
              <w:t>вмчк</w:t>
            </w:r>
            <w:proofErr w:type="spellEnd"/>
            <w:r w:rsidRPr="00F62685">
              <w:rPr>
                <w:rFonts w:ascii="Times New Roman" w:eastAsia="Times New Roman" w:hAnsi="Times New Roman" w:cs="Times New Roman"/>
                <w:sz w:val="20"/>
                <w:szCs w:val="20"/>
              </w:rPr>
              <w:t>. архидякон Стефан“ в Южния парк, гр. София, в размер на 3 500 000 лв.</w:t>
            </w:r>
          </w:p>
          <w:p w:rsidR="00E305D6" w:rsidRPr="00F62685" w:rsidRDefault="00E305D6" w:rsidP="00E305D6">
            <w:pPr>
              <w:spacing w:after="60" w:line="240" w:lineRule="auto"/>
              <w:jc w:val="both"/>
              <w:rPr>
                <w:rFonts w:ascii="Times New Roman" w:eastAsia="Times New Roman" w:hAnsi="Times New Roman" w:cs="Times New Roman"/>
                <w:b/>
                <w:sz w:val="20"/>
                <w:szCs w:val="20"/>
              </w:rPr>
            </w:pPr>
          </w:p>
        </w:tc>
        <w:tc>
          <w:tcPr>
            <w:tcW w:w="574" w:type="pct"/>
            <w:shd w:val="clear" w:color="auto" w:fill="auto"/>
          </w:tcPr>
          <w:p w:rsidR="00E305D6" w:rsidRPr="00657A5B" w:rsidRDefault="00E305D6" w:rsidP="00E305D6">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Приема се</w:t>
            </w:r>
          </w:p>
          <w:p w:rsidR="00E305D6" w:rsidRPr="00657A5B" w:rsidRDefault="00E305D6" w:rsidP="00E305D6">
            <w:pPr>
              <w:spacing w:after="0" w:line="240" w:lineRule="auto"/>
              <w:jc w:val="center"/>
              <w:rPr>
                <w:rFonts w:ascii="Times New Roman" w:eastAsia="Times New Roman" w:hAnsi="Times New Roman" w:cs="Times New Roman"/>
                <w:b/>
                <w:sz w:val="20"/>
                <w:szCs w:val="20"/>
              </w:rPr>
            </w:pPr>
          </w:p>
          <w:p w:rsidR="00E305D6" w:rsidRPr="00657A5B" w:rsidRDefault="00E305D6" w:rsidP="00E305D6">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E305D6" w:rsidRPr="00F62685" w:rsidRDefault="00E305D6" w:rsidP="00E305D6">
            <w:pPr>
              <w:spacing w:after="0" w:line="240" w:lineRule="auto"/>
              <w:jc w:val="both"/>
              <w:rPr>
                <w:rFonts w:ascii="Times New Roman" w:eastAsia="Times New Roman" w:hAnsi="Times New Roman" w:cs="Times New Roman"/>
                <w:sz w:val="20"/>
                <w:szCs w:val="20"/>
              </w:rPr>
            </w:pPr>
            <w:r w:rsidRPr="004D0A80">
              <w:rPr>
                <w:rFonts w:ascii="Times New Roman" w:eastAsia="Times New Roman" w:hAnsi="Times New Roman" w:cs="Times New Roman"/>
                <w:sz w:val="20"/>
                <w:szCs w:val="20"/>
              </w:rPr>
              <w:t>Отразено е в проекта на ЗДБРБ за 2024 г.</w:t>
            </w:r>
          </w:p>
        </w:tc>
      </w:tr>
      <w:tr w:rsidR="00E305D6" w:rsidRPr="00F62685" w:rsidTr="00A60C84">
        <w:trPr>
          <w:trHeight w:val="64"/>
        </w:trPr>
        <w:tc>
          <w:tcPr>
            <w:tcW w:w="941" w:type="pct"/>
            <w:shd w:val="clear" w:color="auto" w:fill="auto"/>
          </w:tcPr>
          <w:p w:rsidR="00E305D6" w:rsidRPr="00F62685" w:rsidRDefault="00E305D6" w:rsidP="00E305D6">
            <w:pPr>
              <w:spacing w:after="0" w:line="240" w:lineRule="auto"/>
              <w:rPr>
                <w:rFonts w:ascii="Times New Roman" w:eastAsia="Times New Roman" w:hAnsi="Times New Roman" w:cs="Times New Roman"/>
                <w:b/>
                <w:sz w:val="20"/>
                <w:szCs w:val="20"/>
              </w:rPr>
            </w:pPr>
          </w:p>
        </w:tc>
        <w:tc>
          <w:tcPr>
            <w:tcW w:w="1868" w:type="pct"/>
            <w:shd w:val="clear" w:color="auto" w:fill="auto"/>
          </w:tcPr>
          <w:p w:rsidR="00E305D6" w:rsidRPr="00A60C84" w:rsidRDefault="00E305D6" w:rsidP="00E305D6">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2. Сградата на Висшия ислямски институт, намиращ се на адрес: гр. София, </w:t>
            </w:r>
            <w:r>
              <w:rPr>
                <w:rFonts w:ascii="Times New Roman" w:eastAsia="Times New Roman" w:hAnsi="Times New Roman" w:cs="Times New Roman"/>
                <w:sz w:val="20"/>
                <w:szCs w:val="20"/>
              </w:rPr>
              <w:t>район „Надежда“, ул. „</w:t>
            </w:r>
            <w:proofErr w:type="spellStart"/>
            <w:r>
              <w:rPr>
                <w:rFonts w:ascii="Times New Roman" w:eastAsia="Times New Roman" w:hAnsi="Times New Roman" w:cs="Times New Roman"/>
                <w:sz w:val="20"/>
                <w:szCs w:val="20"/>
              </w:rPr>
              <w:t>Илиянско</w:t>
            </w:r>
            <w:proofErr w:type="spellEnd"/>
            <w:r>
              <w:rPr>
                <w:rFonts w:ascii="Times New Roman" w:eastAsia="Times New Roman" w:hAnsi="Times New Roman" w:cs="Times New Roman"/>
                <w:sz w:val="20"/>
                <w:szCs w:val="20"/>
              </w:rPr>
              <w:t xml:space="preserve"> </w:t>
            </w:r>
            <w:r w:rsidRPr="00F62685">
              <w:rPr>
                <w:rFonts w:ascii="Times New Roman" w:eastAsia="Times New Roman" w:hAnsi="Times New Roman" w:cs="Times New Roman"/>
                <w:sz w:val="20"/>
                <w:szCs w:val="20"/>
              </w:rPr>
              <w:t>шосе“</w:t>
            </w:r>
            <w:r>
              <w:rPr>
                <w:rFonts w:ascii="Times New Roman" w:eastAsia="Times New Roman" w:hAnsi="Times New Roman" w:cs="Times New Roman"/>
                <w:sz w:val="20"/>
                <w:szCs w:val="20"/>
              </w:rPr>
              <w:t xml:space="preserve"> № 12, в размер на 3 500 000 лв.</w:t>
            </w:r>
          </w:p>
        </w:tc>
        <w:tc>
          <w:tcPr>
            <w:tcW w:w="574" w:type="pct"/>
            <w:shd w:val="clear" w:color="auto" w:fill="auto"/>
          </w:tcPr>
          <w:p w:rsidR="00E305D6" w:rsidRPr="00657A5B" w:rsidRDefault="00E305D6" w:rsidP="00E305D6">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Приема се</w:t>
            </w:r>
          </w:p>
          <w:p w:rsidR="00E305D6" w:rsidRPr="00657A5B" w:rsidRDefault="00E305D6" w:rsidP="00E305D6">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E305D6" w:rsidRPr="00F62685" w:rsidRDefault="00E305D6" w:rsidP="00E305D6">
            <w:pPr>
              <w:spacing w:after="0" w:line="240" w:lineRule="auto"/>
              <w:jc w:val="both"/>
              <w:rPr>
                <w:rFonts w:ascii="Times New Roman" w:eastAsia="Times New Roman" w:hAnsi="Times New Roman" w:cs="Times New Roman"/>
                <w:sz w:val="20"/>
                <w:szCs w:val="20"/>
              </w:rPr>
            </w:pPr>
            <w:r w:rsidRPr="004D0A80">
              <w:rPr>
                <w:rFonts w:ascii="Times New Roman" w:eastAsia="Times New Roman" w:hAnsi="Times New Roman" w:cs="Times New Roman"/>
                <w:sz w:val="20"/>
                <w:szCs w:val="20"/>
              </w:rPr>
              <w:t>Отразено е в проекта на  проекта на ЗДБРБ за 2024 г.</w:t>
            </w:r>
          </w:p>
        </w:tc>
      </w:tr>
      <w:tr w:rsidR="00DC7AD7" w:rsidRPr="00F62685" w:rsidTr="00A60C84">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A07D90"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Предлага се с</w:t>
            </w:r>
            <w:r w:rsidRPr="00A07D90">
              <w:rPr>
                <w:rFonts w:ascii="Times New Roman" w:eastAsia="Times New Roman" w:hAnsi="Times New Roman" w:cs="Times New Roman"/>
                <w:sz w:val="20"/>
                <w:szCs w:val="20"/>
              </w:rPr>
              <w:t>умата в разпределението по чл.6, ал. 4, т. 1 от ЗДБРБ да бъде променена, както следва: средствата, предназначени за Рилския манастир да бъдат променени от 200 000 лв. на 600 000 лв.</w:t>
            </w:r>
          </w:p>
          <w:p w:rsidR="00DC7AD7" w:rsidRPr="00F62685" w:rsidRDefault="00DC7AD7" w:rsidP="00097BFC">
            <w:pPr>
              <w:spacing w:after="60" w:line="240" w:lineRule="auto"/>
              <w:jc w:val="both"/>
              <w:rPr>
                <w:rFonts w:ascii="Times New Roman" w:eastAsia="Times New Roman" w:hAnsi="Times New Roman" w:cs="Times New Roman"/>
                <w:b/>
                <w:sz w:val="20"/>
                <w:szCs w:val="20"/>
              </w:rPr>
            </w:pP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Приема се</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Отразено е в чл. 6, ал. 4, т. 1 на проекта на ЗДБРБ за 2024г.</w:t>
            </w:r>
          </w:p>
          <w:p w:rsidR="00DC7AD7"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Предложението на дирекция „Вероизповедания“ е в съответствие с чл. 35, ал. 1 и 9 от Закона за вероизповеданията.</w:t>
            </w:r>
          </w:p>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b/>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ДИРЕКЦИЯ „ИКОНОМИЧЕСКА И СОЦИАЛНА ПОЛИТИКА“ НА МИНИСТЕРСКИЯ СЪВЕТ</w:t>
            </w:r>
          </w:p>
        </w:tc>
        <w:tc>
          <w:tcPr>
            <w:tcW w:w="1868" w:type="pct"/>
            <w:shd w:val="clear" w:color="auto" w:fill="auto"/>
          </w:tcPr>
          <w:p w:rsidR="00DC7AD7" w:rsidRPr="0058234B" w:rsidRDefault="00DC7AD7" w:rsidP="00097BFC">
            <w:pPr>
              <w:spacing w:before="120" w:after="60" w:line="240" w:lineRule="auto"/>
              <w:jc w:val="center"/>
              <w:rPr>
                <w:rFonts w:ascii="Times New Roman" w:eastAsia="Times New Roman" w:hAnsi="Times New Roman" w:cs="Times New Roman"/>
                <w:b/>
                <w:sz w:val="20"/>
                <w:szCs w:val="20"/>
                <w:u w:val="single"/>
              </w:rPr>
            </w:pPr>
            <w:r w:rsidRPr="0058234B">
              <w:rPr>
                <w:rFonts w:ascii="Times New Roman" w:eastAsia="Times New Roman" w:hAnsi="Times New Roman" w:cs="Times New Roman"/>
                <w:b/>
                <w:sz w:val="20"/>
                <w:szCs w:val="20"/>
                <w:u w:val="single"/>
              </w:rPr>
              <w:t>НЕ Е ПОСТЪПИЛО СТАНОВИЩЕ В</w:t>
            </w:r>
          </w:p>
          <w:p w:rsidR="00DC7AD7" w:rsidRPr="00F62685" w:rsidRDefault="00DC7AD7" w:rsidP="00097BFC">
            <w:pPr>
              <w:spacing w:after="60" w:line="240" w:lineRule="auto"/>
              <w:jc w:val="center"/>
              <w:rPr>
                <w:rFonts w:ascii="Times New Roman" w:eastAsia="Times New Roman" w:hAnsi="Times New Roman" w:cs="Times New Roman"/>
                <w:sz w:val="20"/>
                <w:szCs w:val="20"/>
              </w:rPr>
            </w:pPr>
            <w:r w:rsidRPr="0058234B">
              <w:rPr>
                <w:rFonts w:ascii="Times New Roman" w:eastAsia="Times New Roman" w:hAnsi="Times New Roman" w:cs="Times New Roman"/>
                <w:b/>
                <w:sz w:val="20"/>
                <w:szCs w:val="20"/>
                <w:u w:val="single"/>
              </w:rPr>
              <w:t>ОПРЕДЕЛЕНИЯ СРОК</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44218C">
        <w:trPr>
          <w:trHeight w:val="930"/>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ДЪРЖАВНА АГЕНЦИЯ „НАЦИОНАЛНА СИГУРНОСТ“</w:t>
            </w: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ДАНС предоставя следното становище и бележки но законопроекта  за държавния бюджет на Република България за 2024 г. и материалите към него, на основание чл. 32 от УМСНА:</w:t>
            </w:r>
          </w:p>
          <w:p w:rsidR="00DC7AD7" w:rsidRPr="00F62685" w:rsidRDefault="00DC7AD7"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Съгласува по принцип предложения законопроекта за държавния бюджет на Република България за 2024 г. с изключение на разпоредбата на чл. 109 от законопроекта, съ</w:t>
            </w:r>
            <w:r>
              <w:rPr>
                <w:rFonts w:ascii="Times New Roman" w:eastAsia="Times New Roman" w:hAnsi="Times New Roman" w:cs="Times New Roman"/>
                <w:sz w:val="20"/>
                <w:szCs w:val="20"/>
              </w:rPr>
              <w:t>гласно която „Икономии от капита</w:t>
            </w:r>
            <w:r w:rsidRPr="00F62685">
              <w:rPr>
                <w:rFonts w:ascii="Times New Roman" w:eastAsia="Times New Roman" w:hAnsi="Times New Roman" w:cs="Times New Roman"/>
                <w:sz w:val="20"/>
                <w:szCs w:val="20"/>
              </w:rPr>
              <w:t>ловите разходи, утвърдени по чл. 4-49, не могат да бъдат използвани за текущи разходи. “</w:t>
            </w:r>
          </w:p>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Мотиви:</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Предложеното ограничение ще създаде значителни затруднения при изпълнението на разходите по бюджетите на първостепенните разпоредители с бюджет, тъй като при възлагането на обществени поръчки прогнозните стойности на доставките се определят по пазарни цени и голяма част от </w:t>
            </w:r>
            <w:r w:rsidRPr="00F62685">
              <w:rPr>
                <w:rFonts w:ascii="Times New Roman" w:eastAsia="Times New Roman" w:hAnsi="Times New Roman" w:cs="Times New Roman"/>
                <w:sz w:val="20"/>
                <w:szCs w:val="20"/>
              </w:rPr>
              <w:lastRenderedPageBreak/>
              <w:t>планирани; капиталови разходи са за доставка на дълготрайни активи, които по пазарни единични цени са със стойности, близки до определените счетоводни прагове на същественост за дълготрайни активи.</w:t>
            </w:r>
            <w:r>
              <w:rPr>
                <w:rFonts w:ascii="Times New Roman" w:eastAsia="Times New Roman" w:hAnsi="Times New Roman" w:cs="Times New Roman"/>
                <w:sz w:val="20"/>
                <w:szCs w:val="20"/>
              </w:rPr>
              <w:t xml:space="preserve"> В хода на процедурите за възлаг</w:t>
            </w:r>
            <w:r w:rsidRPr="00F62685">
              <w:rPr>
                <w:rFonts w:ascii="Times New Roman" w:eastAsia="Times New Roman" w:hAnsi="Times New Roman" w:cs="Times New Roman"/>
                <w:sz w:val="20"/>
                <w:szCs w:val="20"/>
              </w:rPr>
              <w:t xml:space="preserve">ане на обществени поръчки могат да се договорят по-ниски единични цени, които са под праговете на същественост за ДМА. В резултат на което доставките следва да се </w:t>
            </w:r>
            <w:r w:rsidRPr="00F62685">
              <w:t xml:space="preserve"> </w:t>
            </w:r>
            <w:r w:rsidRPr="00F62685">
              <w:rPr>
                <w:rFonts w:ascii="Times New Roman" w:eastAsia="Times New Roman" w:hAnsi="Times New Roman" w:cs="Times New Roman"/>
                <w:sz w:val="20"/>
                <w:szCs w:val="20"/>
              </w:rPr>
              <w:t>отчитат като разходи за текуща издръжка. Забраната, формулирана в посочения текст на чл</w:t>
            </w:r>
            <w:r>
              <w:rPr>
                <w:rFonts w:ascii="Times New Roman" w:eastAsia="Times New Roman" w:hAnsi="Times New Roman" w:cs="Times New Roman"/>
                <w:sz w:val="20"/>
                <w:szCs w:val="20"/>
              </w:rPr>
              <w:t>.</w:t>
            </w:r>
            <w:r w:rsidRPr="00F62685">
              <w:rPr>
                <w:rFonts w:ascii="Times New Roman" w:eastAsia="Times New Roman" w:hAnsi="Times New Roman" w:cs="Times New Roman"/>
                <w:sz w:val="20"/>
                <w:szCs w:val="20"/>
              </w:rPr>
              <w:t xml:space="preserve"> 109 от проекта на ЗДБРБ за 2024 г. би довела до проваляне на редица обществени поръчки и би принудила ПРБ да откажат сключването на договори, </w:t>
            </w:r>
            <w:r>
              <w:rPr>
                <w:rFonts w:ascii="Times New Roman" w:eastAsia="Times New Roman" w:hAnsi="Times New Roman" w:cs="Times New Roman"/>
                <w:sz w:val="20"/>
                <w:szCs w:val="20"/>
              </w:rPr>
              <w:t>поради неосигурено финансиране.</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Не се приема</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626754" w:rsidRDefault="00DC7AD7" w:rsidP="00DC7AD7">
            <w:pPr>
              <w:spacing w:after="0" w:line="240" w:lineRule="auto"/>
              <w:jc w:val="both"/>
              <w:rPr>
                <w:rFonts w:ascii="Times New Roman" w:eastAsia="Times New Roman" w:hAnsi="Times New Roman" w:cs="Times New Roman"/>
                <w:sz w:val="20"/>
                <w:szCs w:val="20"/>
              </w:rPr>
            </w:pPr>
          </w:p>
          <w:p w:rsidR="00DC7AD7" w:rsidRPr="00626754" w:rsidRDefault="00DC7AD7" w:rsidP="00DC7AD7">
            <w:pPr>
              <w:spacing w:after="0" w:line="240" w:lineRule="auto"/>
              <w:jc w:val="both"/>
              <w:rPr>
                <w:rFonts w:ascii="Times New Roman" w:eastAsia="Times New Roman" w:hAnsi="Times New Roman" w:cs="Times New Roman"/>
                <w:sz w:val="20"/>
                <w:szCs w:val="20"/>
              </w:rPr>
            </w:pPr>
          </w:p>
          <w:p w:rsidR="00DC7AD7" w:rsidRPr="00626754" w:rsidRDefault="00DC7AD7" w:rsidP="00DC7AD7">
            <w:pPr>
              <w:spacing w:after="0" w:line="240" w:lineRule="auto"/>
              <w:jc w:val="both"/>
              <w:rPr>
                <w:rFonts w:ascii="Times New Roman" w:eastAsia="Times New Roman" w:hAnsi="Times New Roman" w:cs="Times New Roman"/>
                <w:sz w:val="20"/>
                <w:szCs w:val="20"/>
              </w:rPr>
            </w:pPr>
          </w:p>
          <w:p w:rsidR="00DC7AD7" w:rsidRPr="00626754" w:rsidRDefault="00DC7AD7" w:rsidP="00DC7AD7">
            <w:pPr>
              <w:spacing w:after="0" w:line="240" w:lineRule="auto"/>
              <w:jc w:val="both"/>
              <w:rPr>
                <w:rFonts w:ascii="Times New Roman" w:eastAsia="Times New Roman" w:hAnsi="Times New Roman" w:cs="Times New Roman"/>
                <w:sz w:val="20"/>
                <w:szCs w:val="20"/>
              </w:rPr>
            </w:pPr>
          </w:p>
          <w:p w:rsidR="00DC7AD7" w:rsidRPr="00626754" w:rsidRDefault="00DC7AD7" w:rsidP="00DC7AD7">
            <w:pPr>
              <w:spacing w:after="0" w:line="240" w:lineRule="auto"/>
              <w:jc w:val="both"/>
              <w:rPr>
                <w:rFonts w:ascii="Times New Roman" w:eastAsia="Times New Roman" w:hAnsi="Times New Roman" w:cs="Times New Roman"/>
                <w:sz w:val="20"/>
                <w:szCs w:val="20"/>
              </w:rPr>
            </w:pPr>
          </w:p>
          <w:p w:rsidR="00DC7AD7" w:rsidRPr="00626754" w:rsidRDefault="00DC7AD7" w:rsidP="00DC7AD7">
            <w:pPr>
              <w:spacing w:after="0" w:line="240" w:lineRule="auto"/>
              <w:jc w:val="both"/>
              <w:rPr>
                <w:rFonts w:ascii="Times New Roman" w:eastAsia="Times New Roman" w:hAnsi="Times New Roman" w:cs="Times New Roman"/>
                <w:sz w:val="20"/>
                <w:szCs w:val="20"/>
              </w:rPr>
            </w:pPr>
            <w:r w:rsidRPr="00626754">
              <w:rPr>
                <w:rFonts w:ascii="Times New Roman" w:eastAsia="Times New Roman" w:hAnsi="Times New Roman" w:cs="Times New Roman"/>
                <w:sz w:val="20"/>
                <w:szCs w:val="20"/>
              </w:rPr>
              <w:t>Съгласно приложимите за бюджетните организации разпоредби, класифицирането и начинът на отчитане на начислена основа на трансакциите и събитията следва да се преценява и да зависи единствено от техния характер, естество и приложимите принципи и правила за отчитане на начислена основа, независимо от начина на третиране, възприет за целите на бюджетиране и касовото изпълнение на бюджета. Изискванията и правилата за отчетност на начислена основа не ограничават изготвянето на коректни разчети по бюджета на първостепенните разпоредители с бюджет, в т. ч. на разчета за капиталовите разходи.</w:t>
            </w:r>
          </w:p>
          <w:p w:rsidR="00DC7AD7" w:rsidRPr="00626754" w:rsidRDefault="00DC7AD7" w:rsidP="00DC7AD7">
            <w:pPr>
              <w:spacing w:after="0" w:line="240" w:lineRule="auto"/>
              <w:jc w:val="both"/>
              <w:rPr>
                <w:rFonts w:ascii="Times New Roman" w:eastAsia="Times New Roman" w:hAnsi="Times New Roman" w:cs="Times New Roman"/>
                <w:sz w:val="20"/>
                <w:szCs w:val="20"/>
              </w:rPr>
            </w:pPr>
          </w:p>
          <w:p w:rsidR="00DC7AD7" w:rsidRPr="00626754" w:rsidRDefault="00DC7AD7" w:rsidP="00DC7AD7">
            <w:pPr>
              <w:spacing w:after="0" w:line="240" w:lineRule="auto"/>
              <w:jc w:val="both"/>
              <w:rPr>
                <w:rFonts w:ascii="Times New Roman" w:eastAsia="Times New Roman" w:hAnsi="Times New Roman" w:cs="Times New Roman"/>
                <w:sz w:val="20"/>
                <w:szCs w:val="20"/>
              </w:rPr>
            </w:pPr>
          </w:p>
          <w:p w:rsidR="00DC7AD7" w:rsidRPr="00626754" w:rsidRDefault="00DC7AD7" w:rsidP="00DC7AD7">
            <w:pPr>
              <w:spacing w:after="0" w:line="240" w:lineRule="auto"/>
              <w:jc w:val="both"/>
              <w:rPr>
                <w:rFonts w:ascii="Times New Roman" w:eastAsia="Times New Roman" w:hAnsi="Times New Roman" w:cs="Times New Roman"/>
                <w:sz w:val="20"/>
                <w:szCs w:val="20"/>
              </w:rPr>
            </w:pPr>
          </w:p>
          <w:p w:rsidR="00DC7AD7" w:rsidRPr="00626754" w:rsidRDefault="00DC7AD7" w:rsidP="00DC7AD7">
            <w:pPr>
              <w:spacing w:after="0" w:line="240" w:lineRule="auto"/>
              <w:jc w:val="both"/>
              <w:rPr>
                <w:rFonts w:ascii="Times New Roman" w:eastAsia="Times New Roman" w:hAnsi="Times New Roman" w:cs="Times New Roman"/>
                <w:sz w:val="20"/>
                <w:szCs w:val="20"/>
              </w:rPr>
            </w:pPr>
          </w:p>
          <w:p w:rsidR="00DC7AD7" w:rsidRPr="00626754" w:rsidRDefault="00DC7AD7" w:rsidP="00DC7AD7">
            <w:pPr>
              <w:spacing w:after="0" w:line="240" w:lineRule="auto"/>
              <w:jc w:val="both"/>
              <w:rPr>
                <w:rFonts w:ascii="Times New Roman" w:eastAsia="Times New Roman" w:hAnsi="Times New Roman" w:cs="Times New Roman"/>
                <w:sz w:val="20"/>
                <w:szCs w:val="20"/>
              </w:rPr>
            </w:pPr>
          </w:p>
          <w:p w:rsidR="00DC7AD7" w:rsidRPr="00626754" w:rsidRDefault="00DC7AD7" w:rsidP="00DC7AD7">
            <w:pPr>
              <w:spacing w:after="0" w:line="240" w:lineRule="auto"/>
              <w:jc w:val="both"/>
              <w:rPr>
                <w:rFonts w:ascii="Times New Roman" w:eastAsia="Times New Roman" w:hAnsi="Times New Roman" w:cs="Times New Roman"/>
                <w:sz w:val="20"/>
                <w:szCs w:val="20"/>
              </w:rPr>
            </w:pPr>
          </w:p>
          <w:p w:rsidR="00DC7AD7" w:rsidRPr="00626754" w:rsidRDefault="00DC7AD7" w:rsidP="00DC7AD7">
            <w:pPr>
              <w:spacing w:after="0" w:line="240" w:lineRule="auto"/>
              <w:jc w:val="both"/>
              <w:rPr>
                <w:rFonts w:ascii="Times New Roman" w:eastAsia="Times New Roman" w:hAnsi="Times New Roman" w:cs="Times New Roman"/>
                <w:sz w:val="20"/>
                <w:szCs w:val="20"/>
              </w:rPr>
            </w:pPr>
          </w:p>
          <w:p w:rsidR="00DC7AD7" w:rsidRPr="00626754" w:rsidRDefault="00DC7AD7" w:rsidP="00DC7AD7">
            <w:pPr>
              <w:spacing w:after="0" w:line="240" w:lineRule="auto"/>
              <w:jc w:val="both"/>
              <w:rPr>
                <w:rFonts w:ascii="Times New Roman" w:eastAsia="Times New Roman" w:hAnsi="Times New Roman" w:cs="Times New Roman"/>
                <w:sz w:val="20"/>
                <w:szCs w:val="20"/>
              </w:rPr>
            </w:pPr>
          </w:p>
          <w:p w:rsidR="00DC7AD7" w:rsidRPr="00252362" w:rsidRDefault="00DC7AD7" w:rsidP="00DC7AD7">
            <w:pPr>
              <w:spacing w:after="0" w:line="240" w:lineRule="auto"/>
              <w:jc w:val="both"/>
              <w:rPr>
                <w:rFonts w:ascii="Times New Roman" w:hAnsi="Times New Roman" w:cs="Times New Roman"/>
                <w:color w:val="000000"/>
                <w:sz w:val="20"/>
                <w:szCs w:val="20"/>
              </w:rPr>
            </w:pPr>
          </w:p>
        </w:tc>
      </w:tr>
      <w:tr w:rsidR="00DC7AD7" w:rsidRPr="00F62685" w:rsidTr="00E15262">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Разходите предвидени в проектобюджета на ДАНС за 2024 г. са крайно недостатъчни, за да осигурят потребностите на Агенцията, необходими за изпълнение на функциите регламентирани със Закона за ДАНС.</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Визията за организационното развитие на Държавна агенция „Национална сигурност” предвижда Агенцията да се развива като устойчива, надеждна, ресурсно осигурена и адекватна на съвременните заплахи служба за сигурност, ползваща се с доверие и призната заради постиганите резултати и професионализма на служителите си.</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Промяната на средата за сигурност от месец февруари 2022 г. и месец октомври 2023 г. наложи преструктуриране на Агенцията и изграждане на способности в нововъзникналите направления, което от своя страна изисква допълнителни средства за задоволяване на нови потребности за неутрализиране на заплахите за националната сигурност на Република България.</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Всички неосигурени потребности на ДАНС са заявявани ежегодно в Министерството на финансите с представянето на пакетите от документи за проектобюджет и средносрочна бюджетна прогноза по бюджета на ДАНС за съответния програмен период. К</w:t>
            </w:r>
            <w:r>
              <w:rPr>
                <w:rFonts w:ascii="Times New Roman" w:eastAsia="Times New Roman" w:hAnsi="Times New Roman" w:cs="Times New Roman"/>
                <w:sz w:val="20"/>
                <w:szCs w:val="20"/>
              </w:rPr>
              <w:t>ъ</w:t>
            </w:r>
            <w:r w:rsidRPr="00F62685">
              <w:rPr>
                <w:rFonts w:ascii="Times New Roman" w:eastAsia="Times New Roman" w:hAnsi="Times New Roman" w:cs="Times New Roman"/>
                <w:sz w:val="20"/>
                <w:szCs w:val="20"/>
              </w:rPr>
              <w:t xml:space="preserve">м настоящия момент неосигурените потребности на Държавна агенция „Национална сигурност“ са предоставени на Министерството на финансите в Обяснителна информация </w:t>
            </w:r>
            <w:r w:rsidRPr="00F62685">
              <w:rPr>
                <w:rFonts w:ascii="Times New Roman" w:eastAsia="Times New Roman" w:hAnsi="Times New Roman" w:cs="Times New Roman"/>
                <w:i/>
                <w:sz w:val="20"/>
                <w:szCs w:val="20"/>
              </w:rPr>
              <w:t>(съгласно писмото).</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Не се приема</w:t>
            </w:r>
          </w:p>
        </w:tc>
        <w:tc>
          <w:tcPr>
            <w:tcW w:w="1617" w:type="pct"/>
            <w:shd w:val="clear" w:color="auto" w:fill="auto"/>
          </w:tcPr>
          <w:p w:rsidR="00DC7AD7" w:rsidRPr="00626754" w:rsidRDefault="00DC7AD7" w:rsidP="00DC7AD7">
            <w:pPr>
              <w:spacing w:after="0" w:line="240" w:lineRule="auto"/>
              <w:jc w:val="both"/>
              <w:rPr>
                <w:rFonts w:ascii="Times New Roman" w:hAnsi="Times New Roman" w:cs="Times New Roman"/>
                <w:color w:val="000000"/>
                <w:sz w:val="20"/>
                <w:szCs w:val="20"/>
              </w:rPr>
            </w:pPr>
            <w:r w:rsidRPr="00626754">
              <w:rPr>
                <w:rFonts w:ascii="Times New Roman" w:hAnsi="Times New Roman" w:cs="Times New Roman"/>
                <w:color w:val="000000"/>
                <w:sz w:val="20"/>
                <w:szCs w:val="20"/>
              </w:rPr>
              <w:t>Предложеният размер на разходите по бюджета на ДАНС е съобразен с възможностите на държавния бюджет за 2024 г., базиран на есенната макроикономическа прогноза на Министерството на финансите, на действащото законодателство, прилагане на възприетите политики и допускания от правителството за периода 2024-2026 г., отчетни данни и оценка на възможностите за реализиране на инвестиционните разходи в рамките на бюджетната година, предприетите оптимизиращи приходни и разходни мерки със съответните ефекти и предложения за законодателни промени.</w:t>
            </w:r>
          </w:p>
          <w:p w:rsidR="00DC7AD7" w:rsidRPr="00F62685" w:rsidRDefault="00DC7AD7" w:rsidP="00DC7AD7">
            <w:pPr>
              <w:spacing w:after="0" w:line="240" w:lineRule="auto"/>
              <w:jc w:val="both"/>
              <w:rPr>
                <w:rFonts w:ascii="Times New Roman" w:eastAsia="Times New Roman" w:hAnsi="Times New Roman" w:cs="Times New Roman"/>
                <w:sz w:val="20"/>
                <w:szCs w:val="20"/>
              </w:rPr>
            </w:pPr>
            <w:r w:rsidRPr="00626754">
              <w:rPr>
                <w:rFonts w:ascii="Times New Roman" w:hAnsi="Times New Roman" w:cs="Times New Roman"/>
                <w:color w:val="000000"/>
                <w:sz w:val="20"/>
                <w:szCs w:val="20"/>
              </w:rPr>
              <w:t>В тази връзка и предвид ограниченото фискално пространство, на този етап предложения за увеличения в разходната част не биха могли да бъдат удовлетворени.</w:t>
            </w: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 xml:space="preserve">КОМИСИЯ ЗА РАЗКРИВАНЕ НА ДОКУМЕНТИТЕ И ЗА ОБЯВЯВАНЕ НА ПРИНАДЛЕЖНОСТ НА БЪЛГАРСКИ ГРАЖДАНИ </w:t>
            </w:r>
            <w:r w:rsidRPr="00F62685">
              <w:rPr>
                <w:rFonts w:ascii="Times New Roman" w:eastAsia="Times New Roman" w:hAnsi="Times New Roman" w:cs="Times New Roman"/>
                <w:b/>
                <w:sz w:val="20"/>
                <w:szCs w:val="20"/>
              </w:rPr>
              <w:lastRenderedPageBreak/>
              <w:t>КЪМ ДЪРЖАВНА СИГУРНОСТ И РАЗУЗНАВАТЕЛНИТЕ СЛУЖБИ НА БЪЛГАРСКАТА НАРОДНА АРМИЯ</w:t>
            </w:r>
          </w:p>
        </w:tc>
        <w:tc>
          <w:tcPr>
            <w:tcW w:w="1868" w:type="pct"/>
            <w:shd w:val="clear" w:color="auto" w:fill="auto"/>
          </w:tcPr>
          <w:p w:rsidR="00DC7AD7" w:rsidRPr="00F62685" w:rsidRDefault="00DC7AD7" w:rsidP="00097BFC">
            <w:pPr>
              <w:spacing w:before="120" w:after="60" w:line="240" w:lineRule="auto"/>
              <w:jc w:val="center"/>
              <w:rPr>
                <w:rFonts w:ascii="Times New Roman" w:eastAsia="Times New Roman" w:hAnsi="Times New Roman" w:cs="Times New Roman"/>
                <w:b/>
                <w:sz w:val="20"/>
                <w:szCs w:val="20"/>
                <w:u w:val="single"/>
              </w:rPr>
            </w:pPr>
            <w:r w:rsidRPr="00F62685">
              <w:rPr>
                <w:rFonts w:ascii="Times New Roman" w:eastAsia="Times New Roman" w:hAnsi="Times New Roman" w:cs="Times New Roman"/>
                <w:b/>
                <w:sz w:val="20"/>
                <w:szCs w:val="20"/>
                <w:u w:val="single"/>
              </w:rPr>
              <w:lastRenderedPageBreak/>
              <w:t>СЪГЛАСУВА БЕЗ БЕЛЕЖКИ</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КОМИСИЯ ЗА ЗАЩИТА ОТ ДИСКРИМИНАЦИЯ</w:t>
            </w:r>
          </w:p>
        </w:tc>
        <w:tc>
          <w:tcPr>
            <w:tcW w:w="1868" w:type="pct"/>
            <w:shd w:val="clear" w:color="auto" w:fill="auto"/>
          </w:tcPr>
          <w:p w:rsidR="00DC7AD7" w:rsidRPr="0058234B" w:rsidRDefault="00DC7AD7" w:rsidP="00097BFC">
            <w:pPr>
              <w:spacing w:before="120" w:after="60" w:line="240" w:lineRule="auto"/>
              <w:jc w:val="center"/>
              <w:rPr>
                <w:rFonts w:ascii="Times New Roman" w:eastAsia="Times New Roman" w:hAnsi="Times New Roman" w:cs="Times New Roman"/>
                <w:b/>
                <w:sz w:val="20"/>
                <w:szCs w:val="20"/>
                <w:u w:val="single"/>
              </w:rPr>
            </w:pPr>
            <w:r w:rsidRPr="0058234B">
              <w:rPr>
                <w:rFonts w:ascii="Times New Roman" w:eastAsia="Times New Roman" w:hAnsi="Times New Roman" w:cs="Times New Roman"/>
                <w:b/>
                <w:sz w:val="20"/>
                <w:szCs w:val="20"/>
                <w:u w:val="single"/>
              </w:rPr>
              <w:t>НЕ Е ПОСТЪПИЛО СТАНОВИЩЕ В</w:t>
            </w:r>
          </w:p>
          <w:p w:rsidR="00DC7AD7" w:rsidRPr="00F62685" w:rsidRDefault="00DC7AD7" w:rsidP="00097BFC">
            <w:pPr>
              <w:spacing w:after="60" w:line="240" w:lineRule="auto"/>
              <w:jc w:val="center"/>
              <w:rPr>
                <w:rFonts w:ascii="Times New Roman" w:eastAsia="Times New Roman" w:hAnsi="Times New Roman" w:cs="Times New Roman"/>
                <w:sz w:val="20"/>
                <w:szCs w:val="20"/>
              </w:rPr>
            </w:pPr>
            <w:r w:rsidRPr="0058234B">
              <w:rPr>
                <w:rFonts w:ascii="Times New Roman" w:eastAsia="Times New Roman" w:hAnsi="Times New Roman" w:cs="Times New Roman"/>
                <w:b/>
                <w:sz w:val="20"/>
                <w:szCs w:val="20"/>
                <w:u w:val="single"/>
              </w:rPr>
              <w:t>ОПРЕДЕЛЕНИЯ СРОК</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КОМИСИЯ ЗА ЗАЩИТА НА ЛИЧНИТЕ ДАННИ</w:t>
            </w:r>
          </w:p>
        </w:tc>
        <w:tc>
          <w:tcPr>
            <w:tcW w:w="1868" w:type="pct"/>
            <w:shd w:val="clear" w:color="auto" w:fill="auto"/>
          </w:tcPr>
          <w:p w:rsidR="00DC7AD7" w:rsidRPr="00F62685" w:rsidRDefault="00DC7AD7" w:rsidP="00097BFC">
            <w:pPr>
              <w:spacing w:before="120" w:after="60" w:line="240" w:lineRule="auto"/>
              <w:jc w:val="center"/>
              <w:rPr>
                <w:rFonts w:ascii="Times New Roman" w:eastAsia="Times New Roman" w:hAnsi="Times New Roman" w:cs="Times New Roman"/>
                <w:b/>
                <w:sz w:val="20"/>
                <w:szCs w:val="20"/>
                <w:u w:val="single"/>
              </w:rPr>
            </w:pPr>
            <w:r w:rsidRPr="00F62685">
              <w:rPr>
                <w:rFonts w:ascii="Times New Roman" w:eastAsia="Times New Roman" w:hAnsi="Times New Roman" w:cs="Times New Roman"/>
                <w:b/>
                <w:sz w:val="20"/>
                <w:szCs w:val="20"/>
                <w:u w:val="single"/>
              </w:rPr>
              <w:t>СЪГЛАСУВА БЕЗ БЕЛЕЖКИ</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КОМИСИЯ ЗА ПРОТИВОДЕЙСТВИЕ НА КОРУПЦИЯТА</w:t>
            </w:r>
          </w:p>
        </w:tc>
        <w:tc>
          <w:tcPr>
            <w:tcW w:w="1868" w:type="pct"/>
            <w:shd w:val="clear" w:color="auto" w:fill="auto"/>
          </w:tcPr>
          <w:p w:rsidR="00DC7AD7" w:rsidRPr="00F62685" w:rsidRDefault="00DC7AD7" w:rsidP="00097BFC">
            <w:pPr>
              <w:spacing w:before="120" w:after="60" w:line="240" w:lineRule="auto"/>
              <w:jc w:val="center"/>
              <w:rPr>
                <w:rFonts w:ascii="Times New Roman" w:eastAsia="Times New Roman" w:hAnsi="Times New Roman" w:cs="Times New Roman"/>
                <w:b/>
                <w:sz w:val="20"/>
                <w:szCs w:val="20"/>
                <w:u w:val="single"/>
              </w:rPr>
            </w:pPr>
            <w:r w:rsidRPr="00F62685">
              <w:rPr>
                <w:rFonts w:ascii="Times New Roman" w:eastAsia="Times New Roman" w:hAnsi="Times New Roman" w:cs="Times New Roman"/>
                <w:b/>
                <w:sz w:val="20"/>
                <w:szCs w:val="20"/>
                <w:u w:val="single"/>
              </w:rPr>
              <w:t>СЪГЛАСУВА БЕЗ БЕЛЕЖКИ</w:t>
            </w:r>
          </w:p>
          <w:p w:rsidR="00DC7AD7" w:rsidRPr="00F62685" w:rsidRDefault="00DC7AD7" w:rsidP="00097BFC">
            <w:pPr>
              <w:spacing w:after="60" w:line="240" w:lineRule="auto"/>
              <w:jc w:val="center"/>
              <w:rPr>
                <w:rFonts w:ascii="Times New Roman" w:eastAsia="Times New Roman" w:hAnsi="Times New Roman" w:cs="Times New Roman"/>
                <w:b/>
                <w:sz w:val="20"/>
                <w:szCs w:val="20"/>
                <w:u w:val="single"/>
              </w:rPr>
            </w:pPr>
            <w:r w:rsidRPr="00F62685">
              <w:rPr>
                <w:rFonts w:ascii="Times New Roman" w:eastAsia="Times New Roman" w:hAnsi="Times New Roman" w:cs="Times New Roman"/>
                <w:b/>
                <w:sz w:val="20"/>
                <w:szCs w:val="20"/>
                <w:u w:val="single"/>
              </w:rPr>
              <w:t>СЪГЛАСУВА БЕЗ ПРЕДЛОЖЕНИЯ ОТНОСНО НАЛИЧИЕТО НА КОРУПЦИОНЕН РИСК</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C67E33">
        <w:trPr>
          <w:trHeight w:val="161"/>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b/>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КОМИСИЯ ЗА ОТНЕМАНЕ НА НЕЗАКОННО ПРИДОБИТОТО ИМУЩЕСТВО</w:t>
            </w:r>
          </w:p>
        </w:tc>
        <w:tc>
          <w:tcPr>
            <w:tcW w:w="1868" w:type="pct"/>
            <w:shd w:val="clear" w:color="auto" w:fill="auto"/>
          </w:tcPr>
          <w:p w:rsidR="00DC7AD7" w:rsidRPr="00F62685" w:rsidRDefault="00DC7AD7" w:rsidP="00097BFC">
            <w:pPr>
              <w:spacing w:before="120" w:after="60" w:line="240" w:lineRule="auto"/>
              <w:jc w:val="center"/>
              <w:rPr>
                <w:rFonts w:ascii="Times New Roman" w:eastAsia="Times New Roman" w:hAnsi="Times New Roman" w:cs="Times New Roman"/>
                <w:b/>
                <w:sz w:val="20"/>
                <w:szCs w:val="20"/>
                <w:u w:val="single"/>
              </w:rPr>
            </w:pPr>
            <w:r w:rsidRPr="00F62685">
              <w:rPr>
                <w:rFonts w:ascii="Times New Roman" w:eastAsia="Times New Roman" w:hAnsi="Times New Roman" w:cs="Times New Roman"/>
                <w:b/>
                <w:sz w:val="20"/>
                <w:szCs w:val="20"/>
                <w:u w:val="single"/>
              </w:rPr>
              <w:t>СЪГЛАСУВА БЕЗ БЕЛЕЖКИ</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НАЦИОНАЛНА СЛУЖБА ЗА ОХРАНА</w:t>
            </w: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НСО има следните бележки и възражения по така предложения проект на Решение на Министерски съвет за одобряване на законопроект за държавния бюджет на Република България за 2024 г. и материали към него:</w:t>
            </w:r>
          </w:p>
          <w:p w:rsidR="00DC7AD7" w:rsidRPr="00F62685" w:rsidRDefault="00DC7AD7"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НСО предлага в проектобюджета на НСО за 2024 г. да бъде осигурен допълнителен финансов ресурс в размер 14 000 000 лв. и целеви средства в размер на 2 600 000 лв. по показатели, съгласно таблицата:</w:t>
            </w:r>
          </w:p>
          <w:tbl>
            <w:tblPr>
              <w:tblW w:w="0" w:type="auto"/>
              <w:tblInd w:w="10" w:type="dxa"/>
              <w:tblCellMar>
                <w:left w:w="10" w:type="dxa"/>
                <w:right w:w="10" w:type="dxa"/>
              </w:tblCellMar>
              <w:tblLook w:val="04A0" w:firstRow="1" w:lastRow="0" w:firstColumn="1" w:lastColumn="0" w:noHBand="0" w:noVBand="1"/>
            </w:tblPr>
            <w:tblGrid>
              <w:gridCol w:w="810"/>
              <w:gridCol w:w="1515"/>
              <w:gridCol w:w="3060"/>
            </w:tblGrid>
            <w:tr w:rsidR="00DC7AD7" w:rsidRPr="00F62685" w:rsidTr="0065493D">
              <w:trPr>
                <w:trHeight w:hRule="exact" w:val="808"/>
              </w:trPr>
              <w:tc>
                <w:tcPr>
                  <w:tcW w:w="0" w:type="auto"/>
                  <w:tcBorders>
                    <w:top w:val="single" w:sz="4" w:space="0" w:color="auto"/>
                    <w:left w:val="single" w:sz="4" w:space="0" w:color="auto"/>
                  </w:tcBorders>
                  <w:shd w:val="clear" w:color="auto" w:fill="FFFFFF"/>
                </w:tcPr>
                <w:p w:rsidR="00DC7AD7" w:rsidRPr="00F62685" w:rsidRDefault="00DC7AD7" w:rsidP="005E6825">
                  <w:pPr>
                    <w:framePr w:hSpace="141" w:wrap="around" w:vAnchor="text" w:hAnchor="margin" w:y="282"/>
                    <w:spacing w:after="60" w:line="240" w:lineRule="auto"/>
                    <w:suppressOverlap/>
                    <w:jc w:val="center"/>
                    <w:rPr>
                      <w:rFonts w:ascii="Times New Roman" w:hAnsi="Times New Roman" w:cs="Times New Roman"/>
                      <w:sz w:val="16"/>
                      <w:szCs w:val="16"/>
                    </w:rPr>
                  </w:pPr>
                  <w:r w:rsidRPr="00F62685">
                    <w:rPr>
                      <w:rStyle w:val="BodytextBoldSpacing0pt"/>
                      <w:rFonts w:ascii="Times New Roman" w:eastAsiaTheme="minorHAnsi" w:hAnsi="Times New Roman" w:cs="Times New Roman"/>
                      <w:sz w:val="16"/>
                      <w:szCs w:val="16"/>
                    </w:rPr>
                    <w:t>Параграф</w:t>
                  </w:r>
                </w:p>
              </w:tc>
              <w:tc>
                <w:tcPr>
                  <w:tcW w:w="1515" w:type="dxa"/>
                  <w:tcBorders>
                    <w:top w:val="single" w:sz="4" w:space="0" w:color="auto"/>
                    <w:left w:val="single" w:sz="4" w:space="0" w:color="auto"/>
                  </w:tcBorders>
                  <w:shd w:val="clear" w:color="auto" w:fill="FFFFFF"/>
                </w:tcPr>
                <w:p w:rsidR="00DC7AD7" w:rsidRPr="00F62685" w:rsidRDefault="00DC7AD7" w:rsidP="005E6825">
                  <w:pPr>
                    <w:framePr w:hSpace="141" w:wrap="around" w:vAnchor="text" w:hAnchor="margin" w:y="282"/>
                    <w:spacing w:after="60" w:line="240" w:lineRule="auto"/>
                    <w:suppressOverlap/>
                    <w:jc w:val="center"/>
                    <w:rPr>
                      <w:rFonts w:ascii="Times New Roman" w:hAnsi="Times New Roman" w:cs="Times New Roman"/>
                      <w:sz w:val="16"/>
                      <w:szCs w:val="16"/>
                    </w:rPr>
                  </w:pPr>
                  <w:r w:rsidRPr="00F62685">
                    <w:rPr>
                      <w:rStyle w:val="BodytextBoldSpacing0pt"/>
                      <w:rFonts w:ascii="Times New Roman" w:eastAsiaTheme="minorHAnsi" w:hAnsi="Times New Roman" w:cs="Times New Roman"/>
                      <w:sz w:val="16"/>
                      <w:szCs w:val="16"/>
                    </w:rPr>
                    <w:t>Размер на необходимите допълнителни средства</w:t>
                  </w:r>
                </w:p>
              </w:tc>
              <w:tc>
                <w:tcPr>
                  <w:tcW w:w="3060" w:type="dxa"/>
                  <w:tcBorders>
                    <w:top w:val="single" w:sz="4" w:space="0" w:color="auto"/>
                    <w:left w:val="single" w:sz="4" w:space="0" w:color="auto"/>
                    <w:right w:val="single" w:sz="4" w:space="0" w:color="auto"/>
                  </w:tcBorders>
                  <w:shd w:val="clear" w:color="auto" w:fill="FFFFFF"/>
                </w:tcPr>
                <w:p w:rsidR="00DC7AD7" w:rsidRPr="00F62685" w:rsidRDefault="00DC7AD7" w:rsidP="005E6825">
                  <w:pPr>
                    <w:framePr w:hSpace="141" w:wrap="around" w:vAnchor="text" w:hAnchor="margin" w:y="282"/>
                    <w:spacing w:after="60" w:line="240" w:lineRule="auto"/>
                    <w:suppressOverlap/>
                    <w:jc w:val="center"/>
                    <w:rPr>
                      <w:rFonts w:ascii="Times New Roman" w:hAnsi="Times New Roman" w:cs="Times New Roman"/>
                      <w:sz w:val="16"/>
                      <w:szCs w:val="16"/>
                    </w:rPr>
                  </w:pPr>
                  <w:r w:rsidRPr="00F62685">
                    <w:rPr>
                      <w:rStyle w:val="BodytextBoldSpacing0pt"/>
                      <w:rFonts w:ascii="Times New Roman" w:eastAsiaTheme="minorHAnsi" w:hAnsi="Times New Roman" w:cs="Times New Roman"/>
                      <w:sz w:val="16"/>
                      <w:szCs w:val="16"/>
                    </w:rPr>
                    <w:t>Разпределение на необходимите допълнителни</w:t>
                  </w:r>
                </w:p>
                <w:p w:rsidR="00DC7AD7" w:rsidRPr="00F62685" w:rsidRDefault="00DC7AD7" w:rsidP="005E6825">
                  <w:pPr>
                    <w:framePr w:hSpace="141" w:wrap="around" w:vAnchor="text" w:hAnchor="margin" w:y="282"/>
                    <w:spacing w:after="60" w:line="240" w:lineRule="auto"/>
                    <w:suppressOverlap/>
                    <w:jc w:val="center"/>
                    <w:rPr>
                      <w:rFonts w:ascii="Times New Roman" w:hAnsi="Times New Roman" w:cs="Times New Roman"/>
                      <w:sz w:val="16"/>
                      <w:szCs w:val="16"/>
                    </w:rPr>
                  </w:pPr>
                  <w:r w:rsidRPr="00F62685">
                    <w:rPr>
                      <w:rStyle w:val="BodytextBoldSpacing0pt"/>
                      <w:rFonts w:ascii="Times New Roman" w:eastAsiaTheme="minorHAnsi" w:hAnsi="Times New Roman" w:cs="Times New Roman"/>
                      <w:sz w:val="16"/>
                      <w:szCs w:val="16"/>
                    </w:rPr>
                    <w:t>средства</w:t>
                  </w:r>
                </w:p>
              </w:tc>
            </w:tr>
            <w:tr w:rsidR="00DC7AD7" w:rsidRPr="00F62685" w:rsidTr="00C73B3E">
              <w:trPr>
                <w:trHeight w:hRule="exact" w:val="1000"/>
              </w:trPr>
              <w:tc>
                <w:tcPr>
                  <w:tcW w:w="0" w:type="auto"/>
                  <w:tcBorders>
                    <w:top w:val="single" w:sz="4" w:space="0" w:color="auto"/>
                    <w:left w:val="single" w:sz="4" w:space="0" w:color="auto"/>
                  </w:tcBorders>
                  <w:shd w:val="clear" w:color="auto" w:fill="FFFFFF"/>
                </w:tcPr>
                <w:p w:rsidR="00DC7AD7" w:rsidRPr="00F62685" w:rsidRDefault="00DC7AD7" w:rsidP="005E6825">
                  <w:pPr>
                    <w:framePr w:hSpace="141" w:wrap="around" w:vAnchor="text" w:hAnchor="margin" w:y="282"/>
                    <w:spacing w:after="60" w:line="240" w:lineRule="auto"/>
                    <w:suppressOverlap/>
                    <w:jc w:val="center"/>
                    <w:rPr>
                      <w:rFonts w:ascii="Times New Roman" w:hAnsi="Times New Roman" w:cs="Times New Roman"/>
                      <w:sz w:val="16"/>
                      <w:szCs w:val="16"/>
                    </w:rPr>
                  </w:pPr>
                  <w:r w:rsidRPr="00F62685">
                    <w:rPr>
                      <w:rFonts w:ascii="Times New Roman" w:hAnsi="Times New Roman" w:cs="Times New Roman"/>
                      <w:sz w:val="16"/>
                      <w:szCs w:val="16"/>
                    </w:rPr>
                    <w:lastRenderedPageBreak/>
                    <w:t>01-00</w:t>
                  </w:r>
                </w:p>
              </w:tc>
              <w:tc>
                <w:tcPr>
                  <w:tcW w:w="1515" w:type="dxa"/>
                  <w:tcBorders>
                    <w:top w:val="single" w:sz="4" w:space="0" w:color="auto"/>
                    <w:left w:val="single" w:sz="4" w:space="0" w:color="auto"/>
                  </w:tcBorders>
                  <w:shd w:val="clear" w:color="auto" w:fill="FFFFFF"/>
                </w:tcPr>
                <w:p w:rsidR="00DC7AD7" w:rsidRPr="00F62685" w:rsidRDefault="00DC7AD7" w:rsidP="005E6825">
                  <w:pPr>
                    <w:framePr w:hSpace="141" w:wrap="around" w:vAnchor="text" w:hAnchor="margin" w:y="282"/>
                    <w:spacing w:after="60" w:line="240" w:lineRule="auto"/>
                    <w:ind w:right="120"/>
                    <w:suppressOverlap/>
                    <w:jc w:val="right"/>
                    <w:rPr>
                      <w:rFonts w:ascii="Times New Roman" w:hAnsi="Times New Roman" w:cs="Times New Roman"/>
                      <w:sz w:val="16"/>
                      <w:szCs w:val="16"/>
                    </w:rPr>
                  </w:pPr>
                  <w:r w:rsidRPr="00F62685">
                    <w:rPr>
                      <w:rFonts w:ascii="Times New Roman" w:hAnsi="Times New Roman" w:cs="Times New Roman"/>
                      <w:sz w:val="16"/>
                      <w:szCs w:val="16"/>
                    </w:rPr>
                    <w:t>5 700 000</w:t>
                  </w:r>
                </w:p>
              </w:tc>
              <w:tc>
                <w:tcPr>
                  <w:tcW w:w="3060" w:type="dxa"/>
                  <w:tcBorders>
                    <w:top w:val="single" w:sz="4" w:space="0" w:color="auto"/>
                    <w:left w:val="single" w:sz="4" w:space="0" w:color="auto"/>
                    <w:right w:val="single" w:sz="4" w:space="0" w:color="auto"/>
                  </w:tcBorders>
                  <w:shd w:val="clear" w:color="auto" w:fill="FFFFFF"/>
                </w:tcPr>
                <w:p w:rsidR="00DC7AD7" w:rsidRPr="00F62685" w:rsidRDefault="00DC7AD7" w:rsidP="005E6825">
                  <w:pPr>
                    <w:framePr w:hSpace="141" w:wrap="around" w:vAnchor="text" w:hAnchor="margin" w:y="282"/>
                    <w:spacing w:after="60" w:line="240" w:lineRule="auto"/>
                    <w:ind w:left="31"/>
                    <w:suppressOverlap/>
                    <w:rPr>
                      <w:rFonts w:ascii="Times New Roman" w:hAnsi="Times New Roman" w:cs="Times New Roman"/>
                      <w:sz w:val="16"/>
                      <w:szCs w:val="16"/>
                    </w:rPr>
                  </w:pPr>
                  <w:r w:rsidRPr="00F62685">
                    <w:rPr>
                      <w:rFonts w:ascii="Times New Roman" w:hAnsi="Times New Roman" w:cs="Times New Roman"/>
                      <w:sz w:val="16"/>
                      <w:szCs w:val="16"/>
                    </w:rPr>
                    <w:t>за преодоляване на диспропорциите във възнагражденията на персонала в сектор Сигурност и допълнителни средства за персонал във връзка с РМС № 703 от 6 октомври 2023 г.</w:t>
                  </w:r>
                </w:p>
              </w:tc>
            </w:tr>
            <w:tr w:rsidR="00DC7AD7" w:rsidRPr="00F62685" w:rsidTr="00C73B3E">
              <w:trPr>
                <w:trHeight w:hRule="exact" w:val="442"/>
              </w:trPr>
              <w:tc>
                <w:tcPr>
                  <w:tcW w:w="0" w:type="auto"/>
                  <w:tcBorders>
                    <w:top w:val="single" w:sz="4" w:space="0" w:color="auto"/>
                    <w:left w:val="single" w:sz="4" w:space="0" w:color="auto"/>
                  </w:tcBorders>
                  <w:shd w:val="clear" w:color="auto" w:fill="FFFFFF"/>
                </w:tcPr>
                <w:p w:rsidR="00DC7AD7" w:rsidRPr="00F62685" w:rsidRDefault="00DC7AD7" w:rsidP="005E6825">
                  <w:pPr>
                    <w:framePr w:hSpace="141" w:wrap="around" w:vAnchor="text" w:hAnchor="margin" w:y="282"/>
                    <w:spacing w:after="60" w:line="240" w:lineRule="auto"/>
                    <w:suppressOverlap/>
                    <w:jc w:val="center"/>
                    <w:rPr>
                      <w:rFonts w:ascii="Times New Roman" w:hAnsi="Times New Roman" w:cs="Times New Roman"/>
                      <w:sz w:val="16"/>
                      <w:szCs w:val="16"/>
                    </w:rPr>
                  </w:pPr>
                  <w:r w:rsidRPr="00F62685">
                    <w:rPr>
                      <w:rFonts w:ascii="Times New Roman" w:hAnsi="Times New Roman" w:cs="Times New Roman"/>
                      <w:sz w:val="16"/>
                      <w:szCs w:val="16"/>
                    </w:rPr>
                    <w:t>02-00</w:t>
                  </w:r>
                </w:p>
              </w:tc>
              <w:tc>
                <w:tcPr>
                  <w:tcW w:w="1515" w:type="dxa"/>
                  <w:tcBorders>
                    <w:top w:val="single" w:sz="4" w:space="0" w:color="auto"/>
                    <w:left w:val="single" w:sz="4" w:space="0" w:color="auto"/>
                  </w:tcBorders>
                  <w:shd w:val="clear" w:color="auto" w:fill="FFFFFF"/>
                </w:tcPr>
                <w:p w:rsidR="00DC7AD7" w:rsidRPr="00F62685" w:rsidRDefault="00DC7AD7" w:rsidP="005E6825">
                  <w:pPr>
                    <w:framePr w:hSpace="141" w:wrap="around" w:vAnchor="text" w:hAnchor="margin" w:y="282"/>
                    <w:spacing w:after="60" w:line="240" w:lineRule="auto"/>
                    <w:ind w:right="120"/>
                    <w:suppressOverlap/>
                    <w:jc w:val="right"/>
                    <w:rPr>
                      <w:rFonts w:ascii="Times New Roman" w:hAnsi="Times New Roman" w:cs="Times New Roman"/>
                      <w:sz w:val="16"/>
                      <w:szCs w:val="16"/>
                    </w:rPr>
                  </w:pPr>
                  <w:r w:rsidRPr="00F62685">
                    <w:rPr>
                      <w:rFonts w:ascii="Times New Roman" w:hAnsi="Times New Roman" w:cs="Times New Roman"/>
                      <w:sz w:val="16"/>
                      <w:szCs w:val="16"/>
                    </w:rPr>
                    <w:t>2 050 000</w:t>
                  </w:r>
                </w:p>
              </w:tc>
              <w:tc>
                <w:tcPr>
                  <w:tcW w:w="3060" w:type="dxa"/>
                  <w:tcBorders>
                    <w:top w:val="single" w:sz="4" w:space="0" w:color="auto"/>
                    <w:left w:val="single" w:sz="4" w:space="0" w:color="auto"/>
                    <w:right w:val="single" w:sz="4" w:space="0" w:color="auto"/>
                  </w:tcBorders>
                  <w:shd w:val="clear" w:color="auto" w:fill="FFFFFF"/>
                </w:tcPr>
                <w:p w:rsidR="00DC7AD7" w:rsidRPr="00F62685" w:rsidRDefault="00DC7AD7" w:rsidP="005E6825">
                  <w:pPr>
                    <w:framePr w:hSpace="141" w:wrap="around" w:vAnchor="text" w:hAnchor="margin" w:y="282"/>
                    <w:spacing w:after="60" w:line="240" w:lineRule="auto"/>
                    <w:ind w:left="31"/>
                    <w:suppressOverlap/>
                    <w:rPr>
                      <w:rFonts w:ascii="Times New Roman" w:hAnsi="Times New Roman" w:cs="Times New Roman"/>
                      <w:sz w:val="16"/>
                      <w:szCs w:val="16"/>
                    </w:rPr>
                  </w:pPr>
                  <w:r w:rsidRPr="00F62685">
                    <w:rPr>
                      <w:rFonts w:ascii="Times New Roman" w:hAnsi="Times New Roman" w:cs="Times New Roman"/>
                      <w:sz w:val="16"/>
                      <w:szCs w:val="16"/>
                    </w:rPr>
                    <w:t>за обезщетения за навършена пределна възраст</w:t>
                  </w:r>
                </w:p>
              </w:tc>
            </w:tr>
            <w:tr w:rsidR="00DC7AD7" w:rsidRPr="00F62685" w:rsidTr="00C73B3E">
              <w:trPr>
                <w:trHeight w:hRule="exact" w:val="559"/>
              </w:trPr>
              <w:tc>
                <w:tcPr>
                  <w:tcW w:w="0" w:type="auto"/>
                  <w:tcBorders>
                    <w:top w:val="single" w:sz="4" w:space="0" w:color="auto"/>
                    <w:left w:val="single" w:sz="4" w:space="0" w:color="auto"/>
                  </w:tcBorders>
                  <w:shd w:val="clear" w:color="auto" w:fill="FFFFFF"/>
                </w:tcPr>
                <w:p w:rsidR="00DC7AD7" w:rsidRPr="00F62685" w:rsidRDefault="00DC7AD7" w:rsidP="005E6825">
                  <w:pPr>
                    <w:framePr w:hSpace="141" w:wrap="around" w:vAnchor="text" w:hAnchor="margin" w:y="282"/>
                    <w:spacing w:after="60" w:line="240" w:lineRule="auto"/>
                    <w:suppressOverlap/>
                    <w:jc w:val="center"/>
                    <w:rPr>
                      <w:rFonts w:ascii="Times New Roman" w:hAnsi="Times New Roman" w:cs="Times New Roman"/>
                      <w:sz w:val="16"/>
                      <w:szCs w:val="16"/>
                    </w:rPr>
                  </w:pPr>
                  <w:r w:rsidRPr="00F62685">
                    <w:rPr>
                      <w:rFonts w:ascii="Times New Roman" w:hAnsi="Times New Roman" w:cs="Times New Roman"/>
                      <w:sz w:val="16"/>
                      <w:szCs w:val="16"/>
                    </w:rPr>
                    <w:t>05-00</w:t>
                  </w:r>
                </w:p>
              </w:tc>
              <w:tc>
                <w:tcPr>
                  <w:tcW w:w="1515" w:type="dxa"/>
                  <w:tcBorders>
                    <w:top w:val="single" w:sz="4" w:space="0" w:color="auto"/>
                    <w:left w:val="single" w:sz="4" w:space="0" w:color="auto"/>
                  </w:tcBorders>
                  <w:shd w:val="clear" w:color="auto" w:fill="FFFFFF"/>
                </w:tcPr>
                <w:p w:rsidR="00DC7AD7" w:rsidRPr="00F62685" w:rsidRDefault="00DC7AD7" w:rsidP="005E6825">
                  <w:pPr>
                    <w:framePr w:hSpace="141" w:wrap="around" w:vAnchor="text" w:hAnchor="margin" w:y="282"/>
                    <w:spacing w:after="60" w:line="240" w:lineRule="auto"/>
                    <w:ind w:right="120"/>
                    <w:suppressOverlap/>
                    <w:jc w:val="right"/>
                    <w:rPr>
                      <w:rFonts w:ascii="Times New Roman" w:hAnsi="Times New Roman" w:cs="Times New Roman"/>
                      <w:sz w:val="16"/>
                      <w:szCs w:val="16"/>
                    </w:rPr>
                  </w:pPr>
                  <w:r w:rsidRPr="00F62685">
                    <w:rPr>
                      <w:rFonts w:ascii="Times New Roman" w:hAnsi="Times New Roman" w:cs="Times New Roman"/>
                      <w:sz w:val="16"/>
                      <w:szCs w:val="16"/>
                    </w:rPr>
                    <w:t>3 900 000</w:t>
                  </w:r>
                </w:p>
              </w:tc>
              <w:tc>
                <w:tcPr>
                  <w:tcW w:w="3060" w:type="dxa"/>
                  <w:tcBorders>
                    <w:top w:val="single" w:sz="4" w:space="0" w:color="auto"/>
                    <w:left w:val="single" w:sz="4" w:space="0" w:color="auto"/>
                    <w:right w:val="single" w:sz="4" w:space="0" w:color="auto"/>
                  </w:tcBorders>
                  <w:shd w:val="clear" w:color="auto" w:fill="FFFFFF"/>
                </w:tcPr>
                <w:p w:rsidR="00DC7AD7" w:rsidRPr="00F62685" w:rsidRDefault="00DC7AD7" w:rsidP="005E6825">
                  <w:pPr>
                    <w:framePr w:hSpace="141" w:wrap="around" w:vAnchor="text" w:hAnchor="margin" w:y="282"/>
                    <w:spacing w:after="60" w:line="240" w:lineRule="auto"/>
                    <w:ind w:left="31"/>
                    <w:suppressOverlap/>
                    <w:rPr>
                      <w:rFonts w:ascii="Times New Roman" w:hAnsi="Times New Roman" w:cs="Times New Roman"/>
                      <w:sz w:val="16"/>
                      <w:szCs w:val="16"/>
                    </w:rPr>
                  </w:pPr>
                  <w:r w:rsidRPr="00F62685">
                    <w:rPr>
                      <w:rFonts w:ascii="Times New Roman" w:hAnsi="Times New Roman" w:cs="Times New Roman"/>
                      <w:sz w:val="16"/>
                      <w:szCs w:val="16"/>
                    </w:rPr>
                    <w:t>за осигурителни вноски, вкл. и за персонал във връзка с РМС № 703 от 6 октомври 2023 г.</w:t>
                  </w:r>
                </w:p>
              </w:tc>
            </w:tr>
            <w:tr w:rsidR="00DC7AD7" w:rsidRPr="00F62685" w:rsidTr="00C73B3E">
              <w:trPr>
                <w:trHeight w:hRule="exact" w:val="442"/>
              </w:trPr>
              <w:tc>
                <w:tcPr>
                  <w:tcW w:w="0" w:type="auto"/>
                  <w:tcBorders>
                    <w:top w:val="single" w:sz="4" w:space="0" w:color="auto"/>
                    <w:left w:val="single" w:sz="4" w:space="0" w:color="auto"/>
                  </w:tcBorders>
                  <w:shd w:val="clear" w:color="auto" w:fill="FFFFFF"/>
                </w:tcPr>
                <w:p w:rsidR="00DC7AD7" w:rsidRPr="00F62685" w:rsidRDefault="00DC7AD7" w:rsidP="005E6825">
                  <w:pPr>
                    <w:framePr w:hSpace="141" w:wrap="around" w:vAnchor="text" w:hAnchor="margin" w:y="282"/>
                    <w:spacing w:after="60" w:line="240" w:lineRule="auto"/>
                    <w:suppressOverlap/>
                    <w:jc w:val="center"/>
                    <w:rPr>
                      <w:rFonts w:ascii="Times New Roman" w:hAnsi="Times New Roman" w:cs="Times New Roman"/>
                      <w:sz w:val="16"/>
                      <w:szCs w:val="16"/>
                    </w:rPr>
                  </w:pPr>
                  <w:r w:rsidRPr="00F62685">
                    <w:rPr>
                      <w:rFonts w:ascii="Times New Roman" w:hAnsi="Times New Roman" w:cs="Times New Roman"/>
                      <w:sz w:val="16"/>
                      <w:szCs w:val="16"/>
                    </w:rPr>
                    <w:t>10-00</w:t>
                  </w:r>
                </w:p>
              </w:tc>
              <w:tc>
                <w:tcPr>
                  <w:tcW w:w="1515" w:type="dxa"/>
                  <w:tcBorders>
                    <w:top w:val="single" w:sz="4" w:space="0" w:color="auto"/>
                    <w:left w:val="single" w:sz="4" w:space="0" w:color="auto"/>
                  </w:tcBorders>
                  <w:shd w:val="clear" w:color="auto" w:fill="FFFFFF"/>
                </w:tcPr>
                <w:p w:rsidR="00DC7AD7" w:rsidRPr="00F62685" w:rsidRDefault="00DC7AD7" w:rsidP="005E6825">
                  <w:pPr>
                    <w:framePr w:hSpace="141" w:wrap="around" w:vAnchor="text" w:hAnchor="margin" w:y="282"/>
                    <w:spacing w:after="60" w:line="240" w:lineRule="auto"/>
                    <w:ind w:right="120"/>
                    <w:suppressOverlap/>
                    <w:jc w:val="right"/>
                    <w:rPr>
                      <w:rFonts w:ascii="Times New Roman" w:hAnsi="Times New Roman" w:cs="Times New Roman"/>
                      <w:sz w:val="16"/>
                      <w:szCs w:val="16"/>
                    </w:rPr>
                  </w:pPr>
                  <w:r w:rsidRPr="00F62685">
                    <w:rPr>
                      <w:rFonts w:ascii="Times New Roman" w:hAnsi="Times New Roman" w:cs="Times New Roman"/>
                      <w:sz w:val="16"/>
                      <w:szCs w:val="16"/>
                    </w:rPr>
                    <w:t>300 000</w:t>
                  </w:r>
                </w:p>
              </w:tc>
              <w:tc>
                <w:tcPr>
                  <w:tcW w:w="3060" w:type="dxa"/>
                  <w:tcBorders>
                    <w:top w:val="single" w:sz="4" w:space="0" w:color="auto"/>
                    <w:left w:val="single" w:sz="4" w:space="0" w:color="auto"/>
                    <w:right w:val="single" w:sz="4" w:space="0" w:color="auto"/>
                  </w:tcBorders>
                  <w:shd w:val="clear" w:color="auto" w:fill="FFFFFF"/>
                </w:tcPr>
                <w:p w:rsidR="00DC7AD7" w:rsidRPr="00F62685" w:rsidRDefault="00DC7AD7" w:rsidP="005E6825">
                  <w:pPr>
                    <w:framePr w:hSpace="141" w:wrap="around" w:vAnchor="text" w:hAnchor="margin" w:y="282"/>
                    <w:spacing w:after="60" w:line="240" w:lineRule="auto"/>
                    <w:ind w:left="31"/>
                    <w:suppressOverlap/>
                    <w:rPr>
                      <w:rFonts w:ascii="Times New Roman" w:hAnsi="Times New Roman" w:cs="Times New Roman"/>
                      <w:sz w:val="16"/>
                      <w:szCs w:val="16"/>
                    </w:rPr>
                  </w:pPr>
                  <w:r w:rsidRPr="00F62685">
                    <w:rPr>
                      <w:rFonts w:ascii="Times New Roman" w:hAnsi="Times New Roman" w:cs="Times New Roman"/>
                      <w:sz w:val="16"/>
                      <w:szCs w:val="16"/>
                    </w:rPr>
                    <w:t>за профилактични прегледи за служителите на НСО</w:t>
                  </w:r>
                </w:p>
              </w:tc>
            </w:tr>
            <w:tr w:rsidR="00DC7AD7" w:rsidRPr="00F62685" w:rsidTr="00C73B3E">
              <w:trPr>
                <w:trHeight w:hRule="exact" w:val="271"/>
              </w:trPr>
              <w:tc>
                <w:tcPr>
                  <w:tcW w:w="0" w:type="auto"/>
                  <w:tcBorders>
                    <w:top w:val="single" w:sz="4" w:space="0" w:color="auto"/>
                    <w:left w:val="single" w:sz="4" w:space="0" w:color="auto"/>
                  </w:tcBorders>
                  <w:shd w:val="clear" w:color="auto" w:fill="FFFFFF"/>
                </w:tcPr>
                <w:p w:rsidR="00DC7AD7" w:rsidRPr="00F62685" w:rsidRDefault="00DC7AD7" w:rsidP="005E6825">
                  <w:pPr>
                    <w:framePr w:hSpace="141" w:wrap="around" w:vAnchor="text" w:hAnchor="margin" w:y="282"/>
                    <w:spacing w:after="60" w:line="240" w:lineRule="auto"/>
                    <w:suppressOverlap/>
                    <w:jc w:val="center"/>
                    <w:rPr>
                      <w:rFonts w:ascii="Times New Roman" w:hAnsi="Times New Roman" w:cs="Times New Roman"/>
                      <w:sz w:val="16"/>
                      <w:szCs w:val="16"/>
                    </w:rPr>
                  </w:pPr>
                  <w:r w:rsidRPr="00F62685">
                    <w:rPr>
                      <w:rFonts w:ascii="Times New Roman" w:hAnsi="Times New Roman" w:cs="Times New Roman"/>
                      <w:sz w:val="16"/>
                      <w:szCs w:val="16"/>
                    </w:rPr>
                    <w:t>19-00</w:t>
                  </w:r>
                </w:p>
              </w:tc>
              <w:tc>
                <w:tcPr>
                  <w:tcW w:w="1515" w:type="dxa"/>
                  <w:tcBorders>
                    <w:top w:val="single" w:sz="4" w:space="0" w:color="auto"/>
                    <w:left w:val="single" w:sz="4" w:space="0" w:color="auto"/>
                  </w:tcBorders>
                  <w:shd w:val="clear" w:color="auto" w:fill="FFFFFF"/>
                </w:tcPr>
                <w:p w:rsidR="00DC7AD7" w:rsidRPr="00F62685" w:rsidRDefault="00DC7AD7" w:rsidP="005E6825">
                  <w:pPr>
                    <w:framePr w:hSpace="141" w:wrap="around" w:vAnchor="text" w:hAnchor="margin" w:y="282"/>
                    <w:spacing w:after="60" w:line="240" w:lineRule="auto"/>
                    <w:ind w:right="120"/>
                    <w:suppressOverlap/>
                    <w:jc w:val="right"/>
                    <w:rPr>
                      <w:rFonts w:ascii="Times New Roman" w:hAnsi="Times New Roman" w:cs="Times New Roman"/>
                      <w:sz w:val="16"/>
                      <w:szCs w:val="16"/>
                    </w:rPr>
                  </w:pPr>
                  <w:r w:rsidRPr="00F62685">
                    <w:rPr>
                      <w:rFonts w:ascii="Times New Roman" w:hAnsi="Times New Roman" w:cs="Times New Roman"/>
                      <w:sz w:val="16"/>
                      <w:szCs w:val="16"/>
                    </w:rPr>
                    <w:t>850 000</w:t>
                  </w:r>
                </w:p>
              </w:tc>
              <w:tc>
                <w:tcPr>
                  <w:tcW w:w="3060" w:type="dxa"/>
                  <w:tcBorders>
                    <w:top w:val="single" w:sz="4" w:space="0" w:color="auto"/>
                    <w:left w:val="single" w:sz="4" w:space="0" w:color="auto"/>
                    <w:right w:val="single" w:sz="4" w:space="0" w:color="auto"/>
                  </w:tcBorders>
                  <w:shd w:val="clear" w:color="auto" w:fill="FFFFFF"/>
                </w:tcPr>
                <w:p w:rsidR="00DC7AD7" w:rsidRPr="00F62685" w:rsidRDefault="00DC7AD7" w:rsidP="005E6825">
                  <w:pPr>
                    <w:framePr w:hSpace="141" w:wrap="around" w:vAnchor="text" w:hAnchor="margin" w:y="282"/>
                    <w:spacing w:after="60" w:line="240" w:lineRule="auto"/>
                    <w:ind w:left="31"/>
                    <w:suppressOverlap/>
                    <w:rPr>
                      <w:rFonts w:ascii="Times New Roman" w:hAnsi="Times New Roman" w:cs="Times New Roman"/>
                      <w:sz w:val="16"/>
                      <w:szCs w:val="16"/>
                    </w:rPr>
                  </w:pPr>
                  <w:r w:rsidRPr="00F62685">
                    <w:rPr>
                      <w:rFonts w:ascii="Times New Roman" w:hAnsi="Times New Roman" w:cs="Times New Roman"/>
                      <w:sz w:val="16"/>
                      <w:szCs w:val="16"/>
                    </w:rPr>
                    <w:t>за данъци и такси</w:t>
                  </w:r>
                </w:p>
              </w:tc>
            </w:tr>
            <w:tr w:rsidR="00DC7AD7" w:rsidRPr="00F62685" w:rsidTr="00C73B3E">
              <w:trPr>
                <w:trHeight w:hRule="exact" w:val="460"/>
              </w:trPr>
              <w:tc>
                <w:tcPr>
                  <w:tcW w:w="0" w:type="auto"/>
                  <w:tcBorders>
                    <w:top w:val="single" w:sz="4" w:space="0" w:color="auto"/>
                    <w:left w:val="single" w:sz="4" w:space="0" w:color="auto"/>
                  </w:tcBorders>
                  <w:shd w:val="clear" w:color="auto" w:fill="FFFFFF"/>
                </w:tcPr>
                <w:p w:rsidR="00DC7AD7" w:rsidRPr="00F62685" w:rsidRDefault="00DC7AD7" w:rsidP="005E6825">
                  <w:pPr>
                    <w:framePr w:hSpace="141" w:wrap="around" w:vAnchor="text" w:hAnchor="margin" w:y="282"/>
                    <w:spacing w:after="60" w:line="240" w:lineRule="auto"/>
                    <w:suppressOverlap/>
                    <w:jc w:val="center"/>
                    <w:rPr>
                      <w:rFonts w:ascii="Times New Roman" w:hAnsi="Times New Roman" w:cs="Times New Roman"/>
                      <w:sz w:val="16"/>
                      <w:szCs w:val="16"/>
                    </w:rPr>
                  </w:pPr>
                  <w:r w:rsidRPr="00F62685">
                    <w:rPr>
                      <w:rFonts w:ascii="Times New Roman" w:hAnsi="Times New Roman" w:cs="Times New Roman"/>
                      <w:sz w:val="16"/>
                      <w:szCs w:val="16"/>
                    </w:rPr>
                    <w:t>51-00</w:t>
                  </w:r>
                </w:p>
              </w:tc>
              <w:tc>
                <w:tcPr>
                  <w:tcW w:w="1515" w:type="dxa"/>
                  <w:tcBorders>
                    <w:top w:val="single" w:sz="4" w:space="0" w:color="auto"/>
                    <w:left w:val="single" w:sz="4" w:space="0" w:color="auto"/>
                  </w:tcBorders>
                  <w:shd w:val="clear" w:color="auto" w:fill="FFFFFF"/>
                </w:tcPr>
                <w:p w:rsidR="00DC7AD7" w:rsidRPr="00F62685" w:rsidRDefault="00DC7AD7" w:rsidP="005E6825">
                  <w:pPr>
                    <w:framePr w:hSpace="141" w:wrap="around" w:vAnchor="text" w:hAnchor="margin" w:y="282"/>
                    <w:spacing w:after="60" w:line="240" w:lineRule="auto"/>
                    <w:ind w:right="120"/>
                    <w:suppressOverlap/>
                    <w:jc w:val="right"/>
                    <w:rPr>
                      <w:rFonts w:ascii="Times New Roman" w:hAnsi="Times New Roman" w:cs="Times New Roman"/>
                      <w:sz w:val="16"/>
                      <w:szCs w:val="16"/>
                    </w:rPr>
                  </w:pPr>
                  <w:r w:rsidRPr="00F62685">
                    <w:rPr>
                      <w:rFonts w:ascii="Times New Roman" w:hAnsi="Times New Roman" w:cs="Times New Roman"/>
                      <w:sz w:val="16"/>
                      <w:szCs w:val="16"/>
                    </w:rPr>
                    <w:t>700 000</w:t>
                  </w:r>
                </w:p>
              </w:tc>
              <w:tc>
                <w:tcPr>
                  <w:tcW w:w="3060" w:type="dxa"/>
                  <w:tcBorders>
                    <w:top w:val="single" w:sz="4" w:space="0" w:color="auto"/>
                    <w:left w:val="single" w:sz="4" w:space="0" w:color="auto"/>
                    <w:right w:val="single" w:sz="4" w:space="0" w:color="auto"/>
                  </w:tcBorders>
                  <w:shd w:val="clear" w:color="auto" w:fill="FFFFFF"/>
                </w:tcPr>
                <w:p w:rsidR="00DC7AD7" w:rsidRPr="00F62685" w:rsidRDefault="00DC7AD7" w:rsidP="005E6825">
                  <w:pPr>
                    <w:framePr w:hSpace="141" w:wrap="around" w:vAnchor="text" w:hAnchor="margin" w:y="282"/>
                    <w:spacing w:after="60" w:line="240" w:lineRule="auto"/>
                    <w:ind w:left="31"/>
                    <w:suppressOverlap/>
                    <w:rPr>
                      <w:rFonts w:ascii="Times New Roman" w:hAnsi="Times New Roman" w:cs="Times New Roman"/>
                      <w:sz w:val="16"/>
                      <w:szCs w:val="16"/>
                    </w:rPr>
                  </w:pPr>
                  <w:r w:rsidRPr="00F62685">
                    <w:rPr>
                      <w:rFonts w:ascii="Times New Roman" w:hAnsi="Times New Roman" w:cs="Times New Roman"/>
                      <w:sz w:val="16"/>
                      <w:szCs w:val="16"/>
                    </w:rPr>
                    <w:t>за капиталови разходи за поддръжка на сградния фонд</w:t>
                  </w:r>
                </w:p>
              </w:tc>
            </w:tr>
            <w:tr w:rsidR="00DC7AD7" w:rsidRPr="00F62685" w:rsidTr="00C73B3E">
              <w:trPr>
                <w:trHeight w:hRule="exact" w:val="613"/>
              </w:trPr>
              <w:tc>
                <w:tcPr>
                  <w:tcW w:w="0" w:type="auto"/>
                  <w:tcBorders>
                    <w:top w:val="single" w:sz="4" w:space="0" w:color="auto"/>
                    <w:left w:val="single" w:sz="4" w:space="0" w:color="auto"/>
                  </w:tcBorders>
                  <w:shd w:val="clear" w:color="auto" w:fill="FFFFFF"/>
                </w:tcPr>
                <w:p w:rsidR="00DC7AD7" w:rsidRPr="00F62685" w:rsidRDefault="00DC7AD7" w:rsidP="005E6825">
                  <w:pPr>
                    <w:framePr w:hSpace="141" w:wrap="around" w:vAnchor="text" w:hAnchor="margin" w:y="282"/>
                    <w:spacing w:after="60" w:line="240" w:lineRule="auto"/>
                    <w:suppressOverlap/>
                    <w:jc w:val="center"/>
                    <w:rPr>
                      <w:rFonts w:ascii="Times New Roman" w:hAnsi="Times New Roman" w:cs="Times New Roman"/>
                      <w:sz w:val="16"/>
                      <w:szCs w:val="16"/>
                    </w:rPr>
                  </w:pPr>
                  <w:r w:rsidRPr="00F62685">
                    <w:rPr>
                      <w:rFonts w:ascii="Times New Roman" w:hAnsi="Times New Roman" w:cs="Times New Roman"/>
                      <w:sz w:val="16"/>
                      <w:szCs w:val="16"/>
                    </w:rPr>
                    <w:t>52-00</w:t>
                  </w:r>
                </w:p>
              </w:tc>
              <w:tc>
                <w:tcPr>
                  <w:tcW w:w="1515" w:type="dxa"/>
                  <w:tcBorders>
                    <w:top w:val="single" w:sz="4" w:space="0" w:color="auto"/>
                    <w:left w:val="single" w:sz="4" w:space="0" w:color="auto"/>
                  </w:tcBorders>
                  <w:shd w:val="clear" w:color="auto" w:fill="FFFFFF"/>
                </w:tcPr>
                <w:p w:rsidR="00DC7AD7" w:rsidRPr="00F62685" w:rsidRDefault="00DC7AD7" w:rsidP="005E6825">
                  <w:pPr>
                    <w:framePr w:hSpace="141" w:wrap="around" w:vAnchor="text" w:hAnchor="margin" w:y="282"/>
                    <w:spacing w:after="60" w:line="240" w:lineRule="auto"/>
                    <w:ind w:right="120"/>
                    <w:suppressOverlap/>
                    <w:jc w:val="right"/>
                    <w:rPr>
                      <w:rFonts w:ascii="Times New Roman" w:hAnsi="Times New Roman" w:cs="Times New Roman"/>
                      <w:sz w:val="16"/>
                      <w:szCs w:val="16"/>
                    </w:rPr>
                  </w:pPr>
                  <w:r w:rsidRPr="00F62685">
                    <w:rPr>
                      <w:rFonts w:ascii="Times New Roman" w:hAnsi="Times New Roman" w:cs="Times New Roman"/>
                      <w:sz w:val="16"/>
                      <w:szCs w:val="16"/>
                    </w:rPr>
                    <w:t>500 000</w:t>
                  </w:r>
                </w:p>
              </w:tc>
              <w:tc>
                <w:tcPr>
                  <w:tcW w:w="3060" w:type="dxa"/>
                  <w:tcBorders>
                    <w:top w:val="single" w:sz="4" w:space="0" w:color="auto"/>
                    <w:left w:val="single" w:sz="4" w:space="0" w:color="auto"/>
                    <w:right w:val="single" w:sz="4" w:space="0" w:color="auto"/>
                  </w:tcBorders>
                  <w:shd w:val="clear" w:color="auto" w:fill="FFFFFF"/>
                </w:tcPr>
                <w:p w:rsidR="00DC7AD7" w:rsidRPr="00F62685" w:rsidRDefault="00DC7AD7" w:rsidP="005E6825">
                  <w:pPr>
                    <w:framePr w:hSpace="141" w:wrap="around" w:vAnchor="text" w:hAnchor="margin" w:y="282"/>
                    <w:spacing w:after="60" w:line="240" w:lineRule="auto"/>
                    <w:ind w:left="31"/>
                    <w:suppressOverlap/>
                    <w:rPr>
                      <w:rFonts w:ascii="Times New Roman" w:hAnsi="Times New Roman" w:cs="Times New Roman"/>
                      <w:sz w:val="16"/>
                      <w:szCs w:val="16"/>
                    </w:rPr>
                  </w:pPr>
                  <w:r w:rsidRPr="00F62685">
                    <w:rPr>
                      <w:rFonts w:ascii="Times New Roman" w:hAnsi="Times New Roman" w:cs="Times New Roman"/>
                      <w:sz w:val="16"/>
                      <w:szCs w:val="16"/>
                    </w:rPr>
                    <w:t>за капиталови разходи във връзка с Решение № 703 от 6 октомври 2023 г. на Министерски съвет</w:t>
                  </w:r>
                </w:p>
              </w:tc>
            </w:tr>
            <w:tr w:rsidR="00DC7AD7" w:rsidRPr="00F62685" w:rsidTr="00C73B3E">
              <w:trPr>
                <w:trHeight w:hRule="exact" w:val="280"/>
              </w:trPr>
              <w:tc>
                <w:tcPr>
                  <w:tcW w:w="0" w:type="auto"/>
                  <w:tcBorders>
                    <w:top w:val="single" w:sz="4" w:space="0" w:color="auto"/>
                    <w:left w:val="single" w:sz="4" w:space="0" w:color="auto"/>
                  </w:tcBorders>
                  <w:shd w:val="clear" w:color="auto" w:fill="FFFFFF"/>
                </w:tcPr>
                <w:p w:rsidR="00DC7AD7" w:rsidRPr="00F62685" w:rsidRDefault="00DC7AD7" w:rsidP="005E6825">
                  <w:pPr>
                    <w:framePr w:hSpace="141" w:wrap="around" w:vAnchor="text" w:hAnchor="margin" w:y="282"/>
                    <w:spacing w:after="60" w:line="240" w:lineRule="auto"/>
                    <w:suppressOverlap/>
                    <w:rPr>
                      <w:rFonts w:ascii="Times New Roman" w:hAnsi="Times New Roman" w:cs="Times New Roman"/>
                      <w:b/>
                      <w:sz w:val="16"/>
                      <w:szCs w:val="16"/>
                    </w:rPr>
                  </w:pPr>
                  <w:r w:rsidRPr="00F62685">
                    <w:rPr>
                      <w:rStyle w:val="BodytextBoldSpacing0pt"/>
                      <w:rFonts w:ascii="Times New Roman" w:eastAsiaTheme="minorHAnsi" w:hAnsi="Times New Roman" w:cs="Times New Roman"/>
                      <w:sz w:val="16"/>
                      <w:szCs w:val="16"/>
                    </w:rPr>
                    <w:t>Общо</w:t>
                  </w:r>
                </w:p>
              </w:tc>
              <w:tc>
                <w:tcPr>
                  <w:tcW w:w="1515" w:type="dxa"/>
                  <w:tcBorders>
                    <w:top w:val="single" w:sz="4" w:space="0" w:color="auto"/>
                    <w:left w:val="single" w:sz="4" w:space="0" w:color="auto"/>
                  </w:tcBorders>
                  <w:shd w:val="clear" w:color="auto" w:fill="FFFFFF"/>
                </w:tcPr>
                <w:p w:rsidR="00DC7AD7" w:rsidRPr="00F62685" w:rsidRDefault="00DC7AD7" w:rsidP="005E6825">
                  <w:pPr>
                    <w:framePr w:hSpace="141" w:wrap="around" w:vAnchor="text" w:hAnchor="margin" w:y="282"/>
                    <w:spacing w:after="60" w:line="240" w:lineRule="auto"/>
                    <w:ind w:right="120"/>
                    <w:suppressOverlap/>
                    <w:jc w:val="right"/>
                    <w:rPr>
                      <w:rFonts w:ascii="Times New Roman" w:hAnsi="Times New Roman" w:cs="Times New Roman"/>
                      <w:b/>
                      <w:sz w:val="16"/>
                      <w:szCs w:val="16"/>
                    </w:rPr>
                  </w:pPr>
                  <w:r w:rsidRPr="00F62685">
                    <w:rPr>
                      <w:rStyle w:val="BodytextBoldSpacing0pt"/>
                      <w:rFonts w:ascii="Times New Roman" w:eastAsiaTheme="minorHAnsi" w:hAnsi="Times New Roman" w:cs="Times New Roman"/>
                      <w:sz w:val="16"/>
                      <w:szCs w:val="16"/>
                    </w:rPr>
                    <w:t>14 000 000</w:t>
                  </w:r>
                </w:p>
              </w:tc>
              <w:tc>
                <w:tcPr>
                  <w:tcW w:w="3060" w:type="dxa"/>
                  <w:tcBorders>
                    <w:top w:val="single" w:sz="4" w:space="0" w:color="auto"/>
                    <w:left w:val="single" w:sz="4" w:space="0" w:color="auto"/>
                    <w:right w:val="single" w:sz="4" w:space="0" w:color="auto"/>
                  </w:tcBorders>
                  <w:shd w:val="clear" w:color="auto" w:fill="FFFFFF"/>
                </w:tcPr>
                <w:p w:rsidR="00DC7AD7" w:rsidRPr="00F62685" w:rsidRDefault="00DC7AD7" w:rsidP="005E6825">
                  <w:pPr>
                    <w:framePr w:hSpace="141" w:wrap="around" w:vAnchor="text" w:hAnchor="margin" w:y="282"/>
                    <w:spacing w:after="60" w:line="240" w:lineRule="auto"/>
                    <w:suppressOverlap/>
                    <w:rPr>
                      <w:rFonts w:ascii="Times New Roman" w:hAnsi="Times New Roman" w:cs="Times New Roman"/>
                      <w:b/>
                      <w:sz w:val="16"/>
                      <w:szCs w:val="16"/>
                    </w:rPr>
                  </w:pPr>
                </w:p>
              </w:tc>
            </w:tr>
            <w:tr w:rsidR="00DC7AD7" w:rsidRPr="00F62685" w:rsidTr="0065493D">
              <w:trPr>
                <w:trHeight w:hRule="exact" w:val="610"/>
              </w:trPr>
              <w:tc>
                <w:tcPr>
                  <w:tcW w:w="0" w:type="auto"/>
                  <w:tcBorders>
                    <w:top w:val="single" w:sz="4" w:space="0" w:color="auto"/>
                    <w:left w:val="single" w:sz="4" w:space="0" w:color="auto"/>
                  </w:tcBorders>
                  <w:shd w:val="clear" w:color="auto" w:fill="FFFFFF"/>
                </w:tcPr>
                <w:p w:rsidR="00DC7AD7" w:rsidRPr="00F62685" w:rsidRDefault="00DC7AD7" w:rsidP="005E6825">
                  <w:pPr>
                    <w:framePr w:hSpace="141" w:wrap="around" w:vAnchor="text" w:hAnchor="margin" w:y="282"/>
                    <w:spacing w:after="60" w:line="240" w:lineRule="auto"/>
                    <w:suppressOverlap/>
                    <w:jc w:val="center"/>
                    <w:rPr>
                      <w:rFonts w:ascii="Times New Roman" w:hAnsi="Times New Roman" w:cs="Times New Roman"/>
                      <w:sz w:val="16"/>
                      <w:szCs w:val="16"/>
                    </w:rPr>
                  </w:pPr>
                  <w:proofErr w:type="spellStart"/>
                  <w:r w:rsidRPr="00F62685">
                    <w:rPr>
                      <w:rStyle w:val="BodytextBoldSpacing0pt"/>
                      <w:rFonts w:ascii="Times New Roman" w:eastAsiaTheme="minorHAnsi" w:hAnsi="Times New Roman" w:cs="Times New Roman"/>
                      <w:sz w:val="16"/>
                      <w:szCs w:val="16"/>
                      <w:lang w:eastAsia="en-US" w:bidi="en-US"/>
                    </w:rPr>
                    <w:t>Ilapaг</w:t>
                  </w:r>
                  <w:r w:rsidRPr="00F62685">
                    <w:rPr>
                      <w:rStyle w:val="BodytextBoldSpacing0pt"/>
                      <w:rFonts w:ascii="Times New Roman" w:eastAsiaTheme="minorHAnsi" w:hAnsi="Times New Roman" w:cs="Times New Roman"/>
                      <w:sz w:val="16"/>
                      <w:szCs w:val="16"/>
                    </w:rPr>
                    <w:t>раф</w:t>
                  </w:r>
                  <w:proofErr w:type="spellEnd"/>
                </w:p>
              </w:tc>
              <w:tc>
                <w:tcPr>
                  <w:tcW w:w="1515" w:type="dxa"/>
                  <w:tcBorders>
                    <w:top w:val="single" w:sz="4" w:space="0" w:color="auto"/>
                    <w:left w:val="single" w:sz="4" w:space="0" w:color="auto"/>
                  </w:tcBorders>
                  <w:shd w:val="clear" w:color="auto" w:fill="FFFFFF"/>
                </w:tcPr>
                <w:p w:rsidR="00DC7AD7" w:rsidRPr="00F62685" w:rsidRDefault="00DC7AD7" w:rsidP="005E6825">
                  <w:pPr>
                    <w:framePr w:hSpace="141" w:wrap="around" w:vAnchor="text" w:hAnchor="margin" w:y="282"/>
                    <w:spacing w:after="60" w:line="240" w:lineRule="auto"/>
                    <w:suppressOverlap/>
                    <w:jc w:val="center"/>
                    <w:rPr>
                      <w:rFonts w:ascii="Times New Roman" w:hAnsi="Times New Roman" w:cs="Times New Roman"/>
                      <w:sz w:val="16"/>
                      <w:szCs w:val="16"/>
                    </w:rPr>
                  </w:pPr>
                  <w:r w:rsidRPr="00F62685">
                    <w:rPr>
                      <w:rStyle w:val="BodytextBoldSpacing0pt"/>
                      <w:rFonts w:ascii="Times New Roman" w:eastAsiaTheme="minorHAnsi" w:hAnsi="Times New Roman" w:cs="Times New Roman"/>
                      <w:sz w:val="16"/>
                      <w:szCs w:val="16"/>
                    </w:rPr>
                    <w:t>Размер на необходими нелеви средства</w:t>
                  </w:r>
                </w:p>
              </w:tc>
              <w:tc>
                <w:tcPr>
                  <w:tcW w:w="3060" w:type="dxa"/>
                  <w:tcBorders>
                    <w:top w:val="single" w:sz="4" w:space="0" w:color="auto"/>
                    <w:left w:val="single" w:sz="4" w:space="0" w:color="auto"/>
                    <w:right w:val="single" w:sz="4" w:space="0" w:color="auto"/>
                  </w:tcBorders>
                  <w:shd w:val="clear" w:color="auto" w:fill="FFFFFF"/>
                </w:tcPr>
                <w:p w:rsidR="00DC7AD7" w:rsidRPr="00F62685" w:rsidRDefault="00DC7AD7" w:rsidP="005E6825">
                  <w:pPr>
                    <w:framePr w:hSpace="141" w:wrap="around" w:vAnchor="text" w:hAnchor="margin" w:y="282"/>
                    <w:spacing w:after="60" w:line="240" w:lineRule="auto"/>
                    <w:suppressOverlap/>
                    <w:jc w:val="center"/>
                    <w:rPr>
                      <w:rFonts w:ascii="Times New Roman" w:hAnsi="Times New Roman" w:cs="Times New Roman"/>
                      <w:sz w:val="16"/>
                      <w:szCs w:val="16"/>
                    </w:rPr>
                  </w:pPr>
                  <w:r w:rsidRPr="00F62685">
                    <w:rPr>
                      <w:rStyle w:val="BodytextBoldSpacing0pt"/>
                      <w:rFonts w:ascii="Times New Roman" w:eastAsiaTheme="minorHAnsi" w:hAnsi="Times New Roman" w:cs="Times New Roman"/>
                      <w:sz w:val="16"/>
                      <w:szCs w:val="16"/>
                    </w:rPr>
                    <w:t>Разпределение на необходимите целеви средства</w:t>
                  </w:r>
                </w:p>
              </w:tc>
            </w:tr>
            <w:tr w:rsidR="00DC7AD7" w:rsidRPr="00F62685" w:rsidTr="00C73B3E">
              <w:trPr>
                <w:trHeight w:hRule="exact" w:val="406"/>
              </w:trPr>
              <w:tc>
                <w:tcPr>
                  <w:tcW w:w="0" w:type="auto"/>
                  <w:tcBorders>
                    <w:top w:val="single" w:sz="4" w:space="0" w:color="auto"/>
                    <w:left w:val="single" w:sz="4" w:space="0" w:color="auto"/>
                  </w:tcBorders>
                  <w:shd w:val="clear" w:color="auto" w:fill="FFFFFF"/>
                </w:tcPr>
                <w:p w:rsidR="00DC7AD7" w:rsidRPr="00F62685" w:rsidRDefault="00DC7AD7" w:rsidP="005E6825">
                  <w:pPr>
                    <w:framePr w:hSpace="141" w:wrap="around" w:vAnchor="text" w:hAnchor="margin" w:y="282"/>
                    <w:spacing w:after="60" w:line="240" w:lineRule="auto"/>
                    <w:suppressOverlap/>
                    <w:jc w:val="center"/>
                    <w:rPr>
                      <w:rFonts w:ascii="Times New Roman" w:hAnsi="Times New Roman" w:cs="Times New Roman"/>
                      <w:sz w:val="16"/>
                      <w:szCs w:val="16"/>
                    </w:rPr>
                  </w:pPr>
                  <w:r w:rsidRPr="00F62685">
                    <w:rPr>
                      <w:rFonts w:ascii="Times New Roman" w:hAnsi="Times New Roman" w:cs="Times New Roman"/>
                      <w:sz w:val="16"/>
                      <w:szCs w:val="16"/>
                    </w:rPr>
                    <w:t>10-00</w:t>
                  </w:r>
                </w:p>
              </w:tc>
              <w:tc>
                <w:tcPr>
                  <w:tcW w:w="1515" w:type="dxa"/>
                  <w:tcBorders>
                    <w:top w:val="single" w:sz="4" w:space="0" w:color="auto"/>
                    <w:left w:val="single" w:sz="4" w:space="0" w:color="auto"/>
                  </w:tcBorders>
                  <w:shd w:val="clear" w:color="auto" w:fill="FFFFFF"/>
                </w:tcPr>
                <w:p w:rsidR="00DC7AD7" w:rsidRPr="00F62685" w:rsidRDefault="00DC7AD7" w:rsidP="005E6825">
                  <w:pPr>
                    <w:framePr w:hSpace="141" w:wrap="around" w:vAnchor="text" w:hAnchor="margin" w:y="282"/>
                    <w:spacing w:after="60" w:line="240" w:lineRule="auto"/>
                    <w:ind w:right="120"/>
                    <w:suppressOverlap/>
                    <w:jc w:val="right"/>
                    <w:rPr>
                      <w:rFonts w:ascii="Times New Roman" w:hAnsi="Times New Roman" w:cs="Times New Roman"/>
                      <w:sz w:val="16"/>
                      <w:szCs w:val="16"/>
                    </w:rPr>
                  </w:pPr>
                  <w:r w:rsidRPr="00F62685">
                    <w:rPr>
                      <w:rFonts w:ascii="Times New Roman" w:hAnsi="Times New Roman" w:cs="Times New Roman"/>
                      <w:sz w:val="16"/>
                      <w:szCs w:val="16"/>
                    </w:rPr>
                    <w:t>1 000 000</w:t>
                  </w:r>
                </w:p>
              </w:tc>
              <w:tc>
                <w:tcPr>
                  <w:tcW w:w="3060" w:type="dxa"/>
                  <w:tcBorders>
                    <w:top w:val="single" w:sz="4" w:space="0" w:color="auto"/>
                    <w:left w:val="single" w:sz="4" w:space="0" w:color="auto"/>
                    <w:right w:val="single" w:sz="4" w:space="0" w:color="auto"/>
                  </w:tcBorders>
                  <w:shd w:val="clear" w:color="auto" w:fill="FFFFFF"/>
                </w:tcPr>
                <w:p w:rsidR="00DC7AD7" w:rsidRPr="00F62685" w:rsidRDefault="00DC7AD7" w:rsidP="005E6825">
                  <w:pPr>
                    <w:framePr w:hSpace="141" w:wrap="around" w:vAnchor="text" w:hAnchor="margin" w:y="282"/>
                    <w:spacing w:after="60" w:line="240" w:lineRule="auto"/>
                    <w:ind w:left="31"/>
                    <w:suppressOverlap/>
                    <w:rPr>
                      <w:rFonts w:ascii="Times New Roman" w:hAnsi="Times New Roman" w:cs="Times New Roman"/>
                      <w:sz w:val="16"/>
                      <w:szCs w:val="16"/>
                    </w:rPr>
                  </w:pPr>
                  <w:r w:rsidRPr="00F62685">
                    <w:rPr>
                      <w:rFonts w:ascii="Times New Roman" w:hAnsi="Times New Roman" w:cs="Times New Roman"/>
                      <w:sz w:val="16"/>
                      <w:szCs w:val="16"/>
                    </w:rPr>
                    <w:t>за униформено облекло на служителите</w:t>
                  </w:r>
                </w:p>
              </w:tc>
            </w:tr>
            <w:tr w:rsidR="00DC7AD7" w:rsidRPr="00F62685" w:rsidTr="00C73B3E">
              <w:trPr>
                <w:trHeight w:hRule="exact" w:val="451"/>
              </w:trPr>
              <w:tc>
                <w:tcPr>
                  <w:tcW w:w="0" w:type="auto"/>
                  <w:tcBorders>
                    <w:top w:val="single" w:sz="4" w:space="0" w:color="auto"/>
                    <w:left w:val="single" w:sz="4" w:space="0" w:color="auto"/>
                  </w:tcBorders>
                  <w:shd w:val="clear" w:color="auto" w:fill="FFFFFF"/>
                </w:tcPr>
                <w:p w:rsidR="00DC7AD7" w:rsidRPr="00F62685" w:rsidRDefault="00DC7AD7" w:rsidP="005E6825">
                  <w:pPr>
                    <w:framePr w:hSpace="141" w:wrap="around" w:vAnchor="text" w:hAnchor="margin" w:y="282"/>
                    <w:spacing w:after="60" w:line="240" w:lineRule="auto"/>
                    <w:suppressOverlap/>
                    <w:jc w:val="center"/>
                    <w:rPr>
                      <w:rFonts w:ascii="Times New Roman" w:hAnsi="Times New Roman" w:cs="Times New Roman"/>
                      <w:sz w:val="16"/>
                      <w:szCs w:val="16"/>
                    </w:rPr>
                  </w:pPr>
                  <w:r w:rsidRPr="00F62685">
                    <w:rPr>
                      <w:rFonts w:ascii="Times New Roman" w:hAnsi="Times New Roman" w:cs="Times New Roman"/>
                      <w:sz w:val="16"/>
                      <w:szCs w:val="16"/>
                    </w:rPr>
                    <w:t>52-00</w:t>
                  </w:r>
                </w:p>
              </w:tc>
              <w:tc>
                <w:tcPr>
                  <w:tcW w:w="1515" w:type="dxa"/>
                  <w:tcBorders>
                    <w:top w:val="single" w:sz="4" w:space="0" w:color="auto"/>
                    <w:left w:val="single" w:sz="4" w:space="0" w:color="auto"/>
                  </w:tcBorders>
                  <w:shd w:val="clear" w:color="auto" w:fill="FFFFFF"/>
                </w:tcPr>
                <w:p w:rsidR="00DC7AD7" w:rsidRPr="00F62685" w:rsidRDefault="00DC7AD7" w:rsidP="005E6825">
                  <w:pPr>
                    <w:framePr w:hSpace="141" w:wrap="around" w:vAnchor="text" w:hAnchor="margin" w:y="282"/>
                    <w:spacing w:after="60" w:line="240" w:lineRule="auto"/>
                    <w:ind w:right="120"/>
                    <w:suppressOverlap/>
                    <w:jc w:val="right"/>
                    <w:rPr>
                      <w:rFonts w:ascii="Times New Roman" w:hAnsi="Times New Roman" w:cs="Times New Roman"/>
                      <w:sz w:val="16"/>
                      <w:szCs w:val="16"/>
                    </w:rPr>
                  </w:pPr>
                  <w:r w:rsidRPr="00F62685">
                    <w:rPr>
                      <w:rFonts w:ascii="Times New Roman" w:hAnsi="Times New Roman" w:cs="Times New Roman"/>
                      <w:sz w:val="16"/>
                      <w:szCs w:val="16"/>
                    </w:rPr>
                    <w:t>1 600 000</w:t>
                  </w:r>
                </w:p>
              </w:tc>
              <w:tc>
                <w:tcPr>
                  <w:tcW w:w="3060" w:type="dxa"/>
                  <w:tcBorders>
                    <w:top w:val="single" w:sz="4" w:space="0" w:color="auto"/>
                    <w:left w:val="single" w:sz="4" w:space="0" w:color="auto"/>
                    <w:right w:val="single" w:sz="4" w:space="0" w:color="auto"/>
                  </w:tcBorders>
                  <w:shd w:val="clear" w:color="auto" w:fill="FFFFFF"/>
                </w:tcPr>
                <w:p w:rsidR="00DC7AD7" w:rsidRPr="00F62685" w:rsidRDefault="00DC7AD7" w:rsidP="005E6825">
                  <w:pPr>
                    <w:framePr w:hSpace="141" w:wrap="around" w:vAnchor="text" w:hAnchor="margin" w:y="282"/>
                    <w:spacing w:after="60" w:line="240" w:lineRule="auto"/>
                    <w:ind w:left="31"/>
                    <w:suppressOverlap/>
                    <w:rPr>
                      <w:rFonts w:ascii="Times New Roman" w:hAnsi="Times New Roman" w:cs="Times New Roman"/>
                      <w:sz w:val="16"/>
                      <w:szCs w:val="16"/>
                    </w:rPr>
                  </w:pPr>
                  <w:r w:rsidRPr="00F62685">
                    <w:rPr>
                      <w:rFonts w:ascii="Times New Roman" w:hAnsi="Times New Roman" w:cs="Times New Roman"/>
                      <w:sz w:val="16"/>
                      <w:szCs w:val="16"/>
                    </w:rPr>
                    <w:t>за доставка на автомобили с висока проходимост</w:t>
                  </w:r>
                </w:p>
              </w:tc>
            </w:tr>
            <w:tr w:rsidR="00DC7AD7" w:rsidRPr="00F62685" w:rsidTr="00C73B3E">
              <w:trPr>
                <w:trHeight w:hRule="exact" w:val="271"/>
              </w:trPr>
              <w:tc>
                <w:tcPr>
                  <w:tcW w:w="0" w:type="auto"/>
                  <w:tcBorders>
                    <w:top w:val="single" w:sz="4" w:space="0" w:color="auto"/>
                    <w:left w:val="single" w:sz="4" w:space="0" w:color="auto"/>
                    <w:bottom w:val="single" w:sz="4" w:space="0" w:color="auto"/>
                  </w:tcBorders>
                  <w:shd w:val="clear" w:color="auto" w:fill="FFFFFF"/>
                </w:tcPr>
                <w:p w:rsidR="00DC7AD7" w:rsidRPr="00F62685" w:rsidRDefault="00DC7AD7" w:rsidP="005E6825">
                  <w:pPr>
                    <w:framePr w:hSpace="141" w:wrap="around" w:vAnchor="text" w:hAnchor="margin" w:y="282"/>
                    <w:spacing w:after="60" w:line="240" w:lineRule="auto"/>
                    <w:suppressOverlap/>
                    <w:rPr>
                      <w:rFonts w:ascii="Times New Roman" w:hAnsi="Times New Roman" w:cs="Times New Roman"/>
                      <w:b/>
                      <w:sz w:val="16"/>
                      <w:szCs w:val="16"/>
                    </w:rPr>
                  </w:pPr>
                  <w:r w:rsidRPr="00F62685">
                    <w:rPr>
                      <w:rStyle w:val="BodytextBoldSpacing0pt"/>
                      <w:rFonts w:ascii="Times New Roman" w:eastAsiaTheme="minorHAnsi" w:hAnsi="Times New Roman" w:cs="Times New Roman"/>
                      <w:sz w:val="16"/>
                      <w:szCs w:val="16"/>
                    </w:rPr>
                    <w:t>Общо</w:t>
                  </w:r>
                </w:p>
              </w:tc>
              <w:tc>
                <w:tcPr>
                  <w:tcW w:w="1515" w:type="dxa"/>
                  <w:tcBorders>
                    <w:top w:val="single" w:sz="4" w:space="0" w:color="auto"/>
                    <w:left w:val="single" w:sz="4" w:space="0" w:color="auto"/>
                    <w:bottom w:val="single" w:sz="4" w:space="0" w:color="auto"/>
                  </w:tcBorders>
                  <w:shd w:val="clear" w:color="auto" w:fill="FFFFFF"/>
                </w:tcPr>
                <w:p w:rsidR="00DC7AD7" w:rsidRPr="00F62685" w:rsidRDefault="00DC7AD7" w:rsidP="005E6825">
                  <w:pPr>
                    <w:framePr w:hSpace="141" w:wrap="around" w:vAnchor="text" w:hAnchor="margin" w:y="282"/>
                    <w:spacing w:after="60" w:line="240" w:lineRule="auto"/>
                    <w:ind w:right="120"/>
                    <w:suppressOverlap/>
                    <w:jc w:val="right"/>
                    <w:rPr>
                      <w:rFonts w:ascii="Times New Roman" w:hAnsi="Times New Roman" w:cs="Times New Roman"/>
                      <w:b/>
                      <w:sz w:val="16"/>
                      <w:szCs w:val="16"/>
                    </w:rPr>
                  </w:pPr>
                  <w:r w:rsidRPr="00F62685">
                    <w:rPr>
                      <w:rStyle w:val="BodytextBoldSpacing0pt"/>
                      <w:rFonts w:ascii="Times New Roman" w:eastAsiaTheme="minorHAnsi" w:hAnsi="Times New Roman" w:cs="Times New Roman"/>
                      <w:sz w:val="16"/>
                      <w:szCs w:val="16"/>
                    </w:rPr>
                    <w:t>2 600 000</w:t>
                  </w:r>
                </w:p>
              </w:tc>
              <w:tc>
                <w:tcPr>
                  <w:tcW w:w="3060" w:type="dxa"/>
                  <w:tcBorders>
                    <w:top w:val="single" w:sz="4" w:space="0" w:color="auto"/>
                    <w:left w:val="single" w:sz="4" w:space="0" w:color="auto"/>
                    <w:bottom w:val="single" w:sz="4" w:space="0" w:color="auto"/>
                    <w:right w:val="single" w:sz="4" w:space="0" w:color="auto"/>
                  </w:tcBorders>
                  <w:shd w:val="clear" w:color="auto" w:fill="FFFFFF"/>
                </w:tcPr>
                <w:p w:rsidR="00DC7AD7" w:rsidRPr="00F62685" w:rsidRDefault="00DC7AD7" w:rsidP="005E6825">
                  <w:pPr>
                    <w:framePr w:hSpace="141" w:wrap="around" w:vAnchor="text" w:hAnchor="margin" w:y="282"/>
                    <w:spacing w:after="60" w:line="240" w:lineRule="auto"/>
                    <w:suppressOverlap/>
                    <w:rPr>
                      <w:rFonts w:ascii="Times New Roman" w:hAnsi="Times New Roman" w:cs="Times New Roman"/>
                      <w:b/>
                      <w:sz w:val="16"/>
                      <w:szCs w:val="16"/>
                    </w:rPr>
                  </w:pPr>
                </w:p>
              </w:tc>
            </w:tr>
          </w:tbl>
          <w:p w:rsidR="00DC7AD7" w:rsidRPr="00F62685" w:rsidRDefault="00DC7AD7"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Мотиви:</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В предложения проект на Решение на Министерския съвет за одобряване на законопроект за държавния бюджет на Република България за 2024 г. не са взети предвид посочените с писма с вх. № 82-00-30/15.09.2023 г. и № 82-00-35/06.11.2023 г. искания за осигуряване на </w:t>
            </w:r>
            <w:r w:rsidRPr="00F62685">
              <w:rPr>
                <w:rFonts w:ascii="Times New Roman" w:eastAsia="Times New Roman" w:hAnsi="Times New Roman" w:cs="Times New Roman"/>
                <w:b/>
                <w:sz w:val="20"/>
                <w:szCs w:val="20"/>
              </w:rPr>
              <w:t>допълнително финансиране на службата по показателите за Персонал, Издръжка и други текущи разходи и Капиталови разходи.</w:t>
            </w:r>
            <w:r w:rsidRPr="00F62685">
              <w:rPr>
                <w:rFonts w:ascii="Times New Roman" w:eastAsia="Times New Roman" w:hAnsi="Times New Roman" w:cs="Times New Roman"/>
                <w:sz w:val="20"/>
                <w:szCs w:val="20"/>
              </w:rPr>
              <w:t xml:space="preserve"> С тези писма НСО уведомява Министерството на финансите за недостига на средства по бюджета на службата и рисковете, които се пораждат от перманентното </w:t>
            </w:r>
            <w:proofErr w:type="spellStart"/>
            <w:r w:rsidRPr="00F62685">
              <w:rPr>
                <w:rFonts w:ascii="Times New Roman" w:eastAsia="Times New Roman" w:hAnsi="Times New Roman" w:cs="Times New Roman"/>
                <w:sz w:val="20"/>
                <w:szCs w:val="20"/>
              </w:rPr>
              <w:t>недофинансиране</w:t>
            </w:r>
            <w:proofErr w:type="spellEnd"/>
            <w:r w:rsidRPr="00F62685">
              <w:rPr>
                <w:rFonts w:ascii="Times New Roman" w:eastAsia="Times New Roman" w:hAnsi="Times New Roman" w:cs="Times New Roman"/>
                <w:sz w:val="20"/>
                <w:szCs w:val="20"/>
              </w:rPr>
              <w:t xml:space="preserve"> на основната дейност. В посочените писма е описано подробно състоянието на сградния фонд, автомобилния парк и текучеството на персонал, породено от недостатъчните средства по бюджета на службата и съществуващите диспропорции във възнагражденията на персоната в сектор „Сигурност“. Обърнато е внимание, че във връзка с Решение № 703 от 6 октомври 2023 г. на Министерски </w:t>
            </w:r>
            <w:r w:rsidRPr="00F62685">
              <w:rPr>
                <w:rFonts w:ascii="Times New Roman" w:eastAsia="Times New Roman" w:hAnsi="Times New Roman" w:cs="Times New Roman"/>
                <w:sz w:val="20"/>
                <w:szCs w:val="20"/>
              </w:rPr>
              <w:lastRenderedPageBreak/>
              <w:t xml:space="preserve">съвет за безвъзмездно предоставяне на Народното събрание за управление части от имот - публична държавна собственост, на Националната служба за охрана се възлагат допълнителни дейности по осигуряване на пропускателния режим, контрола на достъпа и охраната на предоставените на Народното събрание сгради. За осигуряване на охраната на обектите, посочени в РМС № 703/06.10.2023 г. е необходимо </w:t>
            </w:r>
            <w:r w:rsidRPr="00F62685">
              <w:rPr>
                <w:rFonts w:ascii="Times New Roman" w:eastAsia="Times New Roman" w:hAnsi="Times New Roman" w:cs="Times New Roman"/>
                <w:b/>
                <w:sz w:val="20"/>
                <w:szCs w:val="20"/>
              </w:rPr>
              <w:t>увеличаване на щата с 25 човека и съответно допълнителни средства за персонал.</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За преодоляване на перманентното недостатъчно финансиране през годините и натрупване на дефицити, както по отношение на поддръжка и подмяна на активи и сгради, така и по отношение на техническо осигуряване на охранителната дейност и осъществяване на качествена и ефективна охрана е </w:t>
            </w:r>
            <w:r w:rsidRPr="00F62685">
              <w:rPr>
                <w:rFonts w:ascii="Times New Roman" w:eastAsia="Times New Roman" w:hAnsi="Times New Roman" w:cs="Times New Roman"/>
                <w:b/>
                <w:sz w:val="20"/>
                <w:szCs w:val="20"/>
              </w:rPr>
              <w:t>необходимо целево финансиране на НСО.</w:t>
            </w:r>
            <w:r w:rsidRPr="00F62685">
              <w:rPr>
                <w:rFonts w:ascii="Times New Roman" w:eastAsia="Times New Roman" w:hAnsi="Times New Roman" w:cs="Times New Roman"/>
                <w:sz w:val="20"/>
                <w:szCs w:val="20"/>
              </w:rPr>
              <w:t xml:space="preserve"> За 2024 г. е най- належащо осигуряване на целеви средства за закупуване на автомобили с висока проходимост и на униформено облекло за служителите от НСО.</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Не се приема в частта, касаеща персонала</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Приема се</w:t>
            </w: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E305D6" w:rsidRDefault="00E305D6" w:rsidP="00E305D6">
            <w:pPr>
              <w:spacing w:after="0" w:line="240" w:lineRule="auto"/>
              <w:jc w:val="both"/>
              <w:rPr>
                <w:rFonts w:ascii="Times New Roman" w:eastAsia="Times New Roman" w:hAnsi="Times New Roman" w:cs="Times New Roman"/>
                <w:sz w:val="20"/>
                <w:szCs w:val="20"/>
              </w:rPr>
            </w:pPr>
            <w:r w:rsidRPr="006F397F">
              <w:rPr>
                <w:rFonts w:ascii="Times New Roman" w:eastAsia="Times New Roman" w:hAnsi="Times New Roman" w:cs="Times New Roman"/>
                <w:sz w:val="20"/>
                <w:szCs w:val="20"/>
              </w:rPr>
              <w:lastRenderedPageBreak/>
              <w:t xml:space="preserve">С проектът на ЗДБРБ за 2024 г. са предвидени средства за преодоляване на диспропорции във възнагражденията на персонала в бюджетните организации с оглед изглаждане на наблюдавани значителни дисбаланси/неравенства в нивото на заплащане </w:t>
            </w:r>
            <w:r>
              <w:rPr>
                <w:rFonts w:ascii="Times New Roman" w:eastAsia="Times New Roman" w:hAnsi="Times New Roman" w:cs="Times New Roman"/>
                <w:sz w:val="20"/>
                <w:szCs w:val="20"/>
              </w:rPr>
              <w:t xml:space="preserve">и за увеличаване на възнагражденията </w:t>
            </w:r>
            <w:r w:rsidRPr="006F397F">
              <w:rPr>
                <w:rFonts w:ascii="Times New Roman" w:eastAsia="Times New Roman" w:hAnsi="Times New Roman" w:cs="Times New Roman"/>
                <w:sz w:val="20"/>
                <w:szCs w:val="20"/>
              </w:rPr>
              <w:t>в различни административни звена и структури в секторите, предоставящи публични услуги. Предвидено е средствата да бъдат разпределяни с акт на Министерския съвет.</w:t>
            </w: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Pr="0044086A" w:rsidRDefault="00DC7AD7" w:rsidP="00E305D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Исканията на НСО, извън разходите за персонал, са отразени в проекта на Закон за държавния бюджет на Република България за 2024 г.</w:t>
            </w: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ДЪРЖАВНА АГЕНЦИЯ „РАЗУЗНАВАНЕ“</w:t>
            </w: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Държавна агенция “Разузнаване" съгласува предложения проект на Решение на Министерски съвет за одобряване па законопроект за държавния бюджет на Република България за 2024 г., и материалите към него.</w:t>
            </w:r>
          </w:p>
          <w:p w:rsidR="00DC7AD7" w:rsidRPr="00F62685" w:rsidRDefault="00DC7AD7" w:rsidP="00097BFC">
            <w:pPr>
              <w:spacing w:after="60" w:line="240" w:lineRule="auto"/>
              <w:jc w:val="both"/>
              <w:rPr>
                <w:rFonts w:ascii="Times New Roman" w:eastAsia="Times New Roman" w:hAnsi="Times New Roman" w:cs="Times New Roman"/>
                <w:b/>
                <w:sz w:val="20"/>
                <w:szCs w:val="20"/>
              </w:rPr>
            </w:pP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Следва да бъде отчетено, че в предложеният проектобюджет за 2024 година, не са планирани необходимите за ДАР допълнителни средства за актуализиране на основните възнаграждения и съответните осигурителни вноски от работодателя, които да спомогнат решаването на проблема с кадровия дефицит.</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Предвид актуалното състояние на човешките ресурси и при разчет за намаляване на кадровия дефицит през следващите пет години е необходимо да бъдат назначавани служители с приоритет за попълване на оперативните, оперативно-техническите и информационните звена. Необходимо е предприемане па мерки за задържане в Агенцията на настоящите й служители на ниско и средно експертно ниво. които предвид образователния им ценз, владеенето на чужди (вкл. редки) езици, допълнителното специализирано обучение и придобития практически опит след 10-12 години работа в Агенцията са силно конкурентоспособни на пазара на труда, където предлаганото възнаграждение за подобни експерти значително надвишава това в ДАР, а ограниченията </w:t>
            </w:r>
            <w:r w:rsidRPr="00F62685">
              <w:t xml:space="preserve"> </w:t>
            </w:r>
            <w:r w:rsidRPr="00F62685">
              <w:rPr>
                <w:rFonts w:ascii="Times New Roman" w:eastAsia="Times New Roman" w:hAnsi="Times New Roman" w:cs="Times New Roman"/>
                <w:sz w:val="20"/>
                <w:szCs w:val="20"/>
              </w:rPr>
              <w:t xml:space="preserve">за допълнителни доходоносни дейности </w:t>
            </w:r>
            <w:r w:rsidRPr="00F62685">
              <w:rPr>
                <w:rFonts w:ascii="Times New Roman" w:eastAsia="Times New Roman" w:hAnsi="Times New Roman" w:cs="Times New Roman"/>
                <w:sz w:val="20"/>
                <w:szCs w:val="20"/>
              </w:rPr>
              <w:lastRenderedPageBreak/>
              <w:t>и тези. свързани с прилагане на мерки за сигурност, са значително по-ниски.</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Осъществяването на такава политика предполага осигуряване на допълнителен финансов ресурс за адекватни на пазара на труда възнаграждения с цел подобряване материалното положение и мотивацията за работа и преодоляване на затрудненията при набиране на нови специалисти с необходимата квалификация. В допълнение към това. с предвиденото нарастване на минималната работна заплата до 1140 лв. през 2026 г.. тя на практика ще се изравни с възнагражденията на лицата, работещи по трудово правоотношение и извършващи нискоквалифициран труд (напр. хигиенист), както и на държавните служители по ЗДАР. на длъжности за специалисти (напр. охранители, шофьори, деловодители и др.). което е крайно демотивиращо за служителите, и на практика прави невъзможно набирането и задържането на подобни кадри.</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Имайки предвид необходимостта от високообразовани и мотивирани млади кадри, притежаващи специфични знания и умения, според нивата на заплащане в сектор „сигурност“ и в страната. Агенцията остава неконкурентноспособна на пазара на труда.</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Не се приема</w:t>
            </w: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r w:rsidRPr="004553A9">
              <w:rPr>
                <w:rFonts w:ascii="Times New Roman" w:eastAsia="Times New Roman" w:hAnsi="Times New Roman" w:cs="Times New Roman"/>
                <w:sz w:val="20"/>
                <w:szCs w:val="20"/>
              </w:rPr>
              <w:t xml:space="preserve">С проектът на ЗДБРБ за 2024 г. са предвидени средства за преодоляване на диспропорции във възнагражденията на персонала </w:t>
            </w:r>
            <w:r>
              <w:rPr>
                <w:rFonts w:ascii="Times New Roman" w:eastAsia="Times New Roman" w:hAnsi="Times New Roman" w:cs="Times New Roman"/>
                <w:sz w:val="20"/>
                <w:szCs w:val="20"/>
              </w:rPr>
              <w:t xml:space="preserve">и увеличаване на възнагражденията </w:t>
            </w:r>
            <w:r w:rsidRPr="004553A9">
              <w:rPr>
                <w:rFonts w:ascii="Times New Roman" w:eastAsia="Times New Roman" w:hAnsi="Times New Roman" w:cs="Times New Roman"/>
                <w:sz w:val="20"/>
                <w:szCs w:val="20"/>
              </w:rPr>
              <w:t>в бюджетните организации с оглед изглаждане на наблюдавани значителни дисбаланси/неравенства в нивото на заплащане в различни административни звена и структури в секторите, предоставящи публични услуги.</w:t>
            </w: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НАЦИОНАЛEН СТАТИСТИЧЕСКИ ИНСТИТУТ</w:t>
            </w: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НСИ съгласува проекта на РМС за одобряване на законопроект за държавния бюджет на Република България за 2024 г. със следната забележка:</w:t>
            </w:r>
          </w:p>
          <w:p w:rsidR="00DC7AD7" w:rsidRPr="00F62685" w:rsidRDefault="00DC7AD7" w:rsidP="00097BFC">
            <w:pPr>
              <w:spacing w:after="60" w:line="240" w:lineRule="auto"/>
              <w:jc w:val="both"/>
              <w:rPr>
                <w:rFonts w:ascii="Times New Roman" w:eastAsia="Times New Roman" w:hAnsi="Times New Roman" w:cs="Times New Roman"/>
                <w:b/>
                <w:sz w:val="20"/>
                <w:szCs w:val="20"/>
              </w:rPr>
            </w:pP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Предвидените средствата за НСИ в частта за персонал са крайно недостатъчно.</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Приема се по принцип</w:t>
            </w: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r w:rsidRPr="00F5613B">
              <w:rPr>
                <w:rFonts w:ascii="Times New Roman" w:eastAsia="Times New Roman" w:hAnsi="Times New Roman" w:cs="Times New Roman"/>
                <w:sz w:val="20"/>
                <w:szCs w:val="20"/>
              </w:rPr>
              <w:t>С проектът на ЗДБРБ за 2024 г. са предвидени средства за преодоляване на диспропорции във възнагражденията на персонала в бюджетните организации с оглед изглаждане на наблюдавани значителни дисбаланси/неравенства в нивото на заплащане в различни административни звена и структури в секторите, предоставящи публични услуги. Предвидено е сре</w:t>
            </w:r>
            <w:r>
              <w:rPr>
                <w:rFonts w:ascii="Times New Roman" w:eastAsia="Times New Roman" w:hAnsi="Times New Roman" w:cs="Times New Roman"/>
                <w:sz w:val="20"/>
                <w:szCs w:val="20"/>
              </w:rPr>
              <w:t>дствата да бъдат разпределяни с</w:t>
            </w:r>
            <w:r w:rsidRPr="00F5613B">
              <w:rPr>
                <w:rFonts w:ascii="Times New Roman" w:eastAsia="Times New Roman" w:hAnsi="Times New Roman" w:cs="Times New Roman"/>
                <w:sz w:val="20"/>
                <w:szCs w:val="20"/>
              </w:rPr>
              <w:t xml:space="preserve"> акт на Министерския съвет.</w:t>
            </w: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КОМИСИЯ ЗА ЗАЩИТА НА КОНКУРЕНЦИЯТА</w:t>
            </w:r>
          </w:p>
        </w:tc>
        <w:tc>
          <w:tcPr>
            <w:tcW w:w="1868" w:type="pct"/>
            <w:shd w:val="clear" w:color="auto" w:fill="auto"/>
          </w:tcPr>
          <w:p w:rsidR="00DC7AD7" w:rsidRPr="00F62685" w:rsidRDefault="00DC7AD7" w:rsidP="00097BFC">
            <w:pPr>
              <w:spacing w:before="120" w:after="60" w:line="240" w:lineRule="auto"/>
              <w:jc w:val="center"/>
              <w:rPr>
                <w:rFonts w:ascii="Times New Roman" w:eastAsia="Times New Roman" w:hAnsi="Times New Roman" w:cs="Times New Roman"/>
                <w:b/>
                <w:sz w:val="20"/>
                <w:szCs w:val="20"/>
                <w:u w:val="single"/>
              </w:rPr>
            </w:pPr>
            <w:r w:rsidRPr="00F62685">
              <w:rPr>
                <w:rFonts w:ascii="Times New Roman" w:eastAsia="Times New Roman" w:hAnsi="Times New Roman" w:cs="Times New Roman"/>
                <w:b/>
                <w:sz w:val="20"/>
                <w:szCs w:val="20"/>
                <w:u w:val="single"/>
              </w:rPr>
              <w:t>СЪГЛАСУВА БЕЗ БЕЛЕЖКИ</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КОМИСИЯ ЗА РЕГУЛИРАНЕ НА СЪОБЩЕНИЯТА</w:t>
            </w:r>
          </w:p>
        </w:tc>
        <w:tc>
          <w:tcPr>
            <w:tcW w:w="1868" w:type="pct"/>
            <w:shd w:val="clear" w:color="auto" w:fill="auto"/>
          </w:tcPr>
          <w:p w:rsidR="00DC7AD7" w:rsidRPr="00F62685" w:rsidRDefault="00DC7AD7" w:rsidP="00097BFC">
            <w:pPr>
              <w:spacing w:before="120" w:after="60" w:line="240" w:lineRule="auto"/>
              <w:jc w:val="center"/>
              <w:rPr>
                <w:rFonts w:ascii="Times New Roman" w:eastAsia="Times New Roman" w:hAnsi="Times New Roman" w:cs="Times New Roman"/>
                <w:b/>
                <w:sz w:val="20"/>
                <w:szCs w:val="20"/>
                <w:u w:val="single"/>
              </w:rPr>
            </w:pPr>
            <w:r w:rsidRPr="00F62685">
              <w:rPr>
                <w:rFonts w:ascii="Times New Roman" w:eastAsia="Times New Roman" w:hAnsi="Times New Roman" w:cs="Times New Roman"/>
                <w:b/>
                <w:sz w:val="20"/>
                <w:szCs w:val="20"/>
                <w:u w:val="single"/>
              </w:rPr>
              <w:t>СЪГЛАСУВА БЕЗ БЕЛЕЖКИ</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lastRenderedPageBreak/>
              <w:t>СЪВЕТ ЗА ЕЛЕКТРОННИ МЕДИИ</w:t>
            </w:r>
          </w:p>
        </w:tc>
        <w:tc>
          <w:tcPr>
            <w:tcW w:w="1868" w:type="pct"/>
            <w:shd w:val="clear" w:color="auto" w:fill="auto"/>
          </w:tcPr>
          <w:p w:rsidR="00DC7AD7" w:rsidRPr="00D81710" w:rsidRDefault="00DC7AD7" w:rsidP="00097BFC">
            <w:pPr>
              <w:spacing w:after="60" w:line="240" w:lineRule="auto"/>
              <w:jc w:val="both"/>
              <w:rPr>
                <w:rFonts w:ascii="Times New Roman" w:eastAsia="Times New Roman" w:hAnsi="Times New Roman" w:cs="Times New Roman"/>
                <w:b/>
                <w:sz w:val="20"/>
                <w:szCs w:val="20"/>
              </w:rPr>
            </w:pPr>
            <w:r w:rsidRPr="00D81710">
              <w:rPr>
                <w:rFonts w:ascii="Times New Roman" w:eastAsia="Times New Roman" w:hAnsi="Times New Roman" w:cs="Times New Roman"/>
                <w:b/>
                <w:sz w:val="20"/>
                <w:szCs w:val="20"/>
              </w:rPr>
              <w:t>СЕМ изразява следното становище във връзка с проекта на Решение на Министерския съвет за одобряване на законопроект за държавния бюджет на Република България за 2024 г.:</w:t>
            </w:r>
          </w:p>
          <w:p w:rsidR="00DC7AD7" w:rsidRDefault="00DC7AD7" w:rsidP="00097BFC">
            <w:pPr>
              <w:spacing w:after="60" w:line="240" w:lineRule="auto"/>
              <w:jc w:val="both"/>
              <w:rPr>
                <w:rFonts w:ascii="Times New Roman" w:eastAsia="Times New Roman" w:hAnsi="Times New Roman" w:cs="Times New Roman"/>
                <w:sz w:val="20"/>
                <w:szCs w:val="20"/>
              </w:rPr>
            </w:pPr>
          </w:p>
          <w:p w:rsidR="00DC7AD7" w:rsidRPr="001B1EB3" w:rsidRDefault="00DC7AD7" w:rsidP="00097BFC">
            <w:pPr>
              <w:spacing w:after="60" w:line="240" w:lineRule="auto"/>
              <w:jc w:val="both"/>
              <w:rPr>
                <w:rFonts w:ascii="Times New Roman" w:eastAsia="Times New Roman" w:hAnsi="Times New Roman" w:cs="Times New Roman"/>
                <w:sz w:val="20"/>
                <w:szCs w:val="20"/>
              </w:rPr>
            </w:pPr>
            <w:r w:rsidRPr="001B1EB3">
              <w:rPr>
                <w:rFonts w:ascii="Times New Roman" w:eastAsia="Times New Roman" w:hAnsi="Times New Roman" w:cs="Times New Roman"/>
                <w:sz w:val="20"/>
                <w:szCs w:val="20"/>
              </w:rPr>
              <w:t xml:space="preserve">Съветът за електронни медии през последните години е имал възможност многократно, включително и в хода на бюджетната процедура за 2024 г., да изрази позиция, че е системно </w:t>
            </w:r>
            <w:proofErr w:type="spellStart"/>
            <w:r w:rsidRPr="001B1EB3">
              <w:rPr>
                <w:rFonts w:ascii="Times New Roman" w:eastAsia="Times New Roman" w:hAnsi="Times New Roman" w:cs="Times New Roman"/>
                <w:sz w:val="20"/>
                <w:szCs w:val="20"/>
              </w:rPr>
              <w:t>недофинансиран</w:t>
            </w:r>
            <w:proofErr w:type="spellEnd"/>
            <w:r w:rsidRPr="001B1EB3">
              <w:rPr>
                <w:rFonts w:ascii="Times New Roman" w:eastAsia="Times New Roman" w:hAnsi="Times New Roman" w:cs="Times New Roman"/>
                <w:sz w:val="20"/>
                <w:szCs w:val="20"/>
              </w:rPr>
              <w:t xml:space="preserve"> - обстоятелство, довело до препятстване изпълнението на някои от правомощията му по закон.</w:t>
            </w:r>
          </w:p>
          <w:p w:rsidR="00DC7AD7" w:rsidRPr="001B1EB3" w:rsidRDefault="00DC7AD7" w:rsidP="00097BFC">
            <w:pPr>
              <w:spacing w:after="60" w:line="240" w:lineRule="auto"/>
              <w:jc w:val="both"/>
              <w:rPr>
                <w:rFonts w:ascii="Times New Roman" w:eastAsia="Times New Roman" w:hAnsi="Times New Roman" w:cs="Times New Roman"/>
                <w:sz w:val="20"/>
                <w:szCs w:val="20"/>
              </w:rPr>
            </w:pPr>
            <w:r w:rsidRPr="001B1EB3">
              <w:rPr>
                <w:rFonts w:ascii="Times New Roman" w:eastAsia="Times New Roman" w:hAnsi="Times New Roman" w:cs="Times New Roman"/>
                <w:sz w:val="20"/>
                <w:szCs w:val="20"/>
              </w:rPr>
              <w:t>Обезпечаването на достатъчно средства за гарантиране независимостта на регулатора е препоръка, отбелязвана и в докладите на Европейската комисия относно върховенството на закона. Към настоящия момент бюджетът на Съвета е част от държавния бюджет, но следва да бъде категорично подчертано, че органът не е част от изпълнителната власт. Напротив, съгласно Закона за радиото и телевизията, СЕМ е независим специализиран орган. Нещо повече, ревизираната Директива за аудиовизуалните медийни услуги, изрично предвижда държавите членки да гарантират, че националните регулаторни органи са правно обособени от правителството и ефективно и функционално независими от него, както и от всеки друг публичен орган или частна организация.</w:t>
            </w:r>
          </w:p>
          <w:p w:rsidR="00DC7AD7" w:rsidRPr="001B1EB3" w:rsidRDefault="00DC7AD7" w:rsidP="00097BFC">
            <w:pPr>
              <w:spacing w:after="60" w:line="240" w:lineRule="auto"/>
              <w:jc w:val="both"/>
              <w:rPr>
                <w:rFonts w:ascii="Times New Roman" w:eastAsia="Times New Roman" w:hAnsi="Times New Roman" w:cs="Times New Roman"/>
                <w:sz w:val="20"/>
                <w:szCs w:val="20"/>
              </w:rPr>
            </w:pPr>
            <w:r w:rsidRPr="001B1EB3">
              <w:rPr>
                <w:rFonts w:ascii="Times New Roman" w:eastAsia="Times New Roman" w:hAnsi="Times New Roman" w:cs="Times New Roman"/>
                <w:sz w:val="20"/>
                <w:szCs w:val="20"/>
              </w:rPr>
              <w:t>С оглед горното, потвърждаваме вече изложените мотиви в Доклада към бюджетната прогноза 2024-2026, свързани с недостига на средства за обезпечаване на:</w:t>
            </w:r>
          </w:p>
          <w:p w:rsidR="00DC7AD7" w:rsidRPr="001B1EB3" w:rsidRDefault="00DC7AD7" w:rsidP="00097BFC">
            <w:pPr>
              <w:spacing w:after="60" w:line="240" w:lineRule="auto"/>
              <w:jc w:val="both"/>
              <w:rPr>
                <w:rFonts w:ascii="Times New Roman" w:eastAsia="Times New Roman" w:hAnsi="Times New Roman" w:cs="Times New Roman"/>
                <w:sz w:val="20"/>
                <w:szCs w:val="20"/>
              </w:rPr>
            </w:pPr>
            <w:r w:rsidRPr="001B1EB3">
              <w:rPr>
                <w:rFonts w:ascii="Times New Roman" w:eastAsia="Times New Roman" w:hAnsi="Times New Roman" w:cs="Times New Roman"/>
                <w:sz w:val="20"/>
                <w:szCs w:val="20"/>
              </w:rPr>
              <w:t>•</w:t>
            </w:r>
            <w:r w:rsidRPr="001B1EB3">
              <w:rPr>
                <w:rFonts w:ascii="Times New Roman" w:eastAsia="Times New Roman" w:hAnsi="Times New Roman" w:cs="Times New Roman"/>
                <w:sz w:val="20"/>
                <w:szCs w:val="20"/>
              </w:rPr>
              <w:tab/>
              <w:t xml:space="preserve"> административния капацитет - осигуряване на справедливо възнаграждение на труда на вече наетите служители;</w:t>
            </w:r>
          </w:p>
          <w:p w:rsidR="00DC7AD7" w:rsidRPr="001B1EB3" w:rsidRDefault="00DC7AD7" w:rsidP="00097BFC">
            <w:pPr>
              <w:spacing w:after="60" w:line="240" w:lineRule="auto"/>
              <w:jc w:val="both"/>
              <w:rPr>
                <w:rFonts w:ascii="Times New Roman" w:eastAsia="Times New Roman" w:hAnsi="Times New Roman" w:cs="Times New Roman"/>
                <w:sz w:val="20"/>
                <w:szCs w:val="20"/>
              </w:rPr>
            </w:pPr>
            <w:r w:rsidRPr="001B1EB3">
              <w:rPr>
                <w:rFonts w:ascii="Times New Roman" w:eastAsia="Times New Roman" w:hAnsi="Times New Roman" w:cs="Times New Roman"/>
                <w:sz w:val="20"/>
                <w:szCs w:val="20"/>
              </w:rPr>
              <w:t>•</w:t>
            </w:r>
            <w:r w:rsidRPr="001B1EB3">
              <w:rPr>
                <w:rFonts w:ascii="Times New Roman" w:eastAsia="Times New Roman" w:hAnsi="Times New Roman" w:cs="Times New Roman"/>
                <w:sz w:val="20"/>
                <w:szCs w:val="20"/>
              </w:rPr>
              <w:tab/>
              <w:t xml:space="preserve"> дейности по насърчаване развитието на медийна грамотност;</w:t>
            </w:r>
          </w:p>
          <w:p w:rsidR="00DC7AD7" w:rsidRPr="001B1EB3" w:rsidRDefault="00DC7AD7" w:rsidP="00097BFC">
            <w:pPr>
              <w:spacing w:after="60" w:line="240" w:lineRule="auto"/>
              <w:jc w:val="both"/>
              <w:rPr>
                <w:rFonts w:ascii="Times New Roman" w:eastAsia="Times New Roman" w:hAnsi="Times New Roman" w:cs="Times New Roman"/>
                <w:sz w:val="20"/>
                <w:szCs w:val="20"/>
              </w:rPr>
            </w:pPr>
            <w:r w:rsidRPr="001B1EB3">
              <w:rPr>
                <w:rFonts w:ascii="Times New Roman" w:eastAsia="Times New Roman" w:hAnsi="Times New Roman" w:cs="Times New Roman"/>
                <w:sz w:val="20"/>
                <w:szCs w:val="20"/>
              </w:rPr>
              <w:t>•</w:t>
            </w:r>
            <w:r w:rsidRPr="001B1EB3">
              <w:rPr>
                <w:rFonts w:ascii="Times New Roman" w:eastAsia="Times New Roman" w:hAnsi="Times New Roman" w:cs="Times New Roman"/>
                <w:sz w:val="20"/>
                <w:szCs w:val="20"/>
              </w:rPr>
              <w:tab/>
              <w:t xml:space="preserve"> провеждане на социологически изследвания, както и организиране на дискусионни форуми във връзка с медийната среда и медийната регулация;</w:t>
            </w:r>
          </w:p>
          <w:p w:rsidR="00DC7AD7" w:rsidRPr="001B1EB3" w:rsidRDefault="00DC7AD7" w:rsidP="00097BFC">
            <w:pPr>
              <w:spacing w:after="60" w:line="240" w:lineRule="auto"/>
              <w:jc w:val="both"/>
              <w:rPr>
                <w:rFonts w:ascii="Times New Roman" w:eastAsia="Times New Roman" w:hAnsi="Times New Roman" w:cs="Times New Roman"/>
                <w:sz w:val="20"/>
                <w:szCs w:val="20"/>
              </w:rPr>
            </w:pPr>
            <w:r w:rsidRPr="001B1EB3">
              <w:rPr>
                <w:rFonts w:ascii="Times New Roman" w:eastAsia="Times New Roman" w:hAnsi="Times New Roman" w:cs="Times New Roman"/>
                <w:sz w:val="20"/>
                <w:szCs w:val="20"/>
              </w:rPr>
              <w:t>•</w:t>
            </w:r>
            <w:r w:rsidRPr="001B1EB3">
              <w:rPr>
                <w:rFonts w:ascii="Times New Roman" w:eastAsia="Times New Roman" w:hAnsi="Times New Roman" w:cs="Times New Roman"/>
                <w:sz w:val="20"/>
                <w:szCs w:val="20"/>
              </w:rPr>
              <w:tab/>
              <w:t xml:space="preserve"> провеждане на мониторинг на интернет платформите във връзка с изпълнението на Кодекса за поведение във връзка с дезинформацията и Плана за действие за борба с дезинформацията на Европейската комисия и ERGA;</w:t>
            </w:r>
          </w:p>
          <w:p w:rsidR="00DC7AD7" w:rsidRPr="001B1EB3" w:rsidRDefault="00DC7AD7" w:rsidP="00097BFC">
            <w:pPr>
              <w:spacing w:after="60" w:line="240" w:lineRule="auto"/>
              <w:jc w:val="both"/>
              <w:rPr>
                <w:rFonts w:ascii="Times New Roman" w:eastAsia="Times New Roman" w:hAnsi="Times New Roman" w:cs="Times New Roman"/>
                <w:sz w:val="20"/>
                <w:szCs w:val="20"/>
              </w:rPr>
            </w:pPr>
            <w:r w:rsidRPr="001B1EB3">
              <w:rPr>
                <w:rFonts w:ascii="Times New Roman" w:eastAsia="Times New Roman" w:hAnsi="Times New Roman" w:cs="Times New Roman"/>
                <w:sz w:val="20"/>
                <w:szCs w:val="20"/>
              </w:rPr>
              <w:t>•</w:t>
            </w:r>
            <w:r w:rsidRPr="001B1EB3">
              <w:rPr>
                <w:rFonts w:ascii="Times New Roman" w:eastAsia="Times New Roman" w:hAnsi="Times New Roman" w:cs="Times New Roman"/>
                <w:sz w:val="20"/>
                <w:szCs w:val="20"/>
              </w:rPr>
              <w:tab/>
              <w:t xml:space="preserve"> активно присъствие на срещи и форуми в ERGA, ЕПРА, РЕФРАМ, БРАФ.</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Не се приема</w:t>
            </w:r>
          </w:p>
        </w:tc>
        <w:tc>
          <w:tcPr>
            <w:tcW w:w="1617" w:type="pct"/>
            <w:shd w:val="clear" w:color="auto" w:fill="auto"/>
          </w:tcPr>
          <w:p w:rsidR="00DC7AD7" w:rsidRDefault="00DC7AD7" w:rsidP="00DC7AD7">
            <w:pPr>
              <w:spacing w:after="0" w:line="240" w:lineRule="auto"/>
              <w:jc w:val="both"/>
              <w:rPr>
                <w:rFonts w:ascii="Times New Roman" w:eastAsia="Calibri" w:hAnsi="Times New Roman" w:cs="Times New Roman"/>
                <w:color w:val="000000"/>
                <w:sz w:val="20"/>
                <w:szCs w:val="20"/>
              </w:rPr>
            </w:pPr>
          </w:p>
          <w:p w:rsidR="00DC7AD7" w:rsidRDefault="00DC7AD7" w:rsidP="00DC7AD7">
            <w:pPr>
              <w:spacing w:after="0" w:line="240" w:lineRule="auto"/>
              <w:jc w:val="both"/>
              <w:rPr>
                <w:rFonts w:ascii="Times New Roman" w:eastAsia="Calibri" w:hAnsi="Times New Roman" w:cs="Times New Roman"/>
                <w:color w:val="000000"/>
                <w:sz w:val="20"/>
                <w:szCs w:val="20"/>
              </w:rPr>
            </w:pPr>
          </w:p>
          <w:p w:rsidR="00DC7AD7" w:rsidRDefault="00DC7AD7" w:rsidP="00DC7AD7">
            <w:pPr>
              <w:spacing w:after="0" w:line="240" w:lineRule="auto"/>
              <w:jc w:val="both"/>
              <w:rPr>
                <w:rFonts w:ascii="Times New Roman" w:eastAsia="Calibri" w:hAnsi="Times New Roman" w:cs="Times New Roman"/>
                <w:color w:val="000000"/>
                <w:sz w:val="20"/>
                <w:szCs w:val="20"/>
              </w:rPr>
            </w:pPr>
          </w:p>
          <w:p w:rsidR="00DC7AD7" w:rsidRDefault="00DC7AD7" w:rsidP="00DC7AD7">
            <w:pPr>
              <w:spacing w:after="0" w:line="240" w:lineRule="auto"/>
              <w:jc w:val="both"/>
              <w:rPr>
                <w:rFonts w:ascii="Times New Roman" w:eastAsia="Calibri" w:hAnsi="Times New Roman" w:cs="Times New Roman"/>
                <w:color w:val="000000"/>
                <w:sz w:val="20"/>
                <w:szCs w:val="20"/>
              </w:rPr>
            </w:pPr>
          </w:p>
          <w:p w:rsidR="00DC7AD7" w:rsidRDefault="00DC7AD7" w:rsidP="00DC7AD7">
            <w:pPr>
              <w:spacing w:after="0" w:line="240" w:lineRule="auto"/>
              <w:jc w:val="both"/>
              <w:rPr>
                <w:rFonts w:ascii="Times New Roman" w:eastAsia="Calibri" w:hAnsi="Times New Roman" w:cs="Times New Roman"/>
                <w:color w:val="000000"/>
                <w:sz w:val="20"/>
                <w:szCs w:val="20"/>
              </w:rPr>
            </w:pPr>
          </w:p>
          <w:p w:rsidR="00DC7AD7" w:rsidRPr="00326836" w:rsidRDefault="00DC7AD7" w:rsidP="00DC7AD7">
            <w:pPr>
              <w:spacing w:after="0" w:line="240" w:lineRule="auto"/>
              <w:jc w:val="both"/>
              <w:rPr>
                <w:rFonts w:ascii="Times New Roman" w:eastAsia="Calibri" w:hAnsi="Times New Roman" w:cs="Times New Roman"/>
                <w:color w:val="000000"/>
                <w:sz w:val="20"/>
                <w:szCs w:val="20"/>
              </w:rPr>
            </w:pPr>
            <w:r w:rsidRPr="00326836">
              <w:rPr>
                <w:rFonts w:ascii="Times New Roman" w:eastAsia="Calibri" w:hAnsi="Times New Roman" w:cs="Times New Roman"/>
                <w:color w:val="000000"/>
                <w:sz w:val="20"/>
                <w:szCs w:val="20"/>
              </w:rPr>
              <w:t>Предложеният размер на разходите по бюджета на Съвета за електронни медии е съобразен с възможностите на държавния бюджет за 2024 г., базиран на есенната макроикономическа прогноза на Министерството на финансите, на действащото законодателство, прилагане на възприетите политики и допускания от правителството за периода 2024-2026 г., отчетни данни и оценка на възможностите за реализиране на инвестиционните разходи в рамките на бюджетната година, предприетите оптимизиращи приходни и разходни мерки със съответните ефекти и предложения за законодателни промени.</w:t>
            </w:r>
          </w:p>
          <w:p w:rsidR="00DC7AD7" w:rsidRPr="00326836" w:rsidRDefault="00DC7AD7" w:rsidP="00DC7AD7">
            <w:pPr>
              <w:spacing w:after="0" w:line="240" w:lineRule="auto"/>
              <w:jc w:val="both"/>
              <w:rPr>
                <w:rFonts w:ascii="Times New Roman" w:eastAsia="Times New Roman" w:hAnsi="Times New Roman" w:cs="Times New Roman"/>
                <w:sz w:val="20"/>
                <w:szCs w:val="20"/>
              </w:rPr>
            </w:pPr>
            <w:r w:rsidRPr="00326836">
              <w:rPr>
                <w:rFonts w:ascii="Times New Roman" w:eastAsia="Calibri" w:hAnsi="Times New Roman" w:cs="Times New Roman"/>
                <w:color w:val="000000"/>
                <w:sz w:val="20"/>
                <w:szCs w:val="20"/>
              </w:rPr>
              <w:t>С проектът на ЗДБРБ за 2024 г. в чл. 1, ал. 5 са предвидени средства за преодоляване на диспропорции във възнагражденията на персонала в бюджетните организации с оглед изглаждане на наблюдавани значителни дисбаланси/неравенства в нивото на заплащане в различни административни звена и структури в секторите, предоставящи публични услуги. В тази връзка и предвид ограниченото фискално пространство, на този етап предложения за увеличения в разходната част не биха могли да бъдат удовлетворени.</w:t>
            </w: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lastRenderedPageBreak/>
              <w:t>КОМИСИЯ ЗА ЕНЕРГИЙНО И ВОДНО РЕГУЛИРАНЕ</w:t>
            </w:r>
          </w:p>
        </w:tc>
        <w:tc>
          <w:tcPr>
            <w:tcW w:w="1868" w:type="pct"/>
            <w:shd w:val="clear" w:color="auto" w:fill="auto"/>
          </w:tcPr>
          <w:p w:rsidR="00DC7AD7" w:rsidRPr="00F62685" w:rsidRDefault="00DC7AD7" w:rsidP="00097BFC">
            <w:pPr>
              <w:spacing w:before="120" w:after="60" w:line="240" w:lineRule="auto"/>
              <w:jc w:val="center"/>
              <w:rPr>
                <w:rFonts w:ascii="Times New Roman" w:eastAsia="Times New Roman" w:hAnsi="Times New Roman" w:cs="Times New Roman"/>
                <w:b/>
                <w:sz w:val="20"/>
                <w:szCs w:val="20"/>
                <w:u w:val="single"/>
              </w:rPr>
            </w:pPr>
            <w:r w:rsidRPr="00F62685">
              <w:rPr>
                <w:rFonts w:ascii="Times New Roman" w:eastAsia="Times New Roman" w:hAnsi="Times New Roman" w:cs="Times New Roman"/>
                <w:b/>
                <w:sz w:val="20"/>
                <w:szCs w:val="20"/>
                <w:u w:val="single"/>
              </w:rPr>
              <w:t>СЪГЛАСУВА БЕЗ БЕЛЕЖКИ</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vMerge w:val="restar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АГЕНЦИЯ ЗА ЯДРЕНО РЕГУЛИРАНЕ</w:t>
            </w: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АЯР НЕ СЪГЛАСУВА проекта на Решение на Министерския съвет и материалите към него в частта, отнасяща се до бюджета на Агенция за ядрено регулиране за 2024 г. (т. 1 от проекта на РМС), както и актуализираната средносрочна бюджетна прогноза за периода 2024-2026 г. в частта, отнасяща се до АЯР (т. 4 от проекта на РМС), на основание чл. 32, ал. 3 от УПМСНА.</w:t>
            </w:r>
          </w:p>
          <w:p w:rsidR="00DC7AD7" w:rsidRPr="00F62685" w:rsidRDefault="00DC7AD7"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Мотиви:</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1. В чл. 41, ал.1, ред I са предвидени приходи от дейността на АЯР за 2024 г. в размер на 10 100 хил. лева. В направеното предложение от страна на Министерство на финансите, приходите от такси са увеличени неоснователно с 1 000 000 лв. годишно без предварителни разговори с АЯР. Това може доведе до неизпълнение на приходната част на бюджета през следващите години тъй като през разглеждания период не се очаква продължаване на съществуващи лицензни и издаване на нови, освен вече предвидените. АЯР обръща внимание, че текущото преизпълнение на приходната част на бюджета на АЯР за 2023 г. се дължи изцяло на </w:t>
            </w:r>
            <w:proofErr w:type="spellStart"/>
            <w:r w:rsidRPr="00F62685">
              <w:rPr>
                <w:rFonts w:ascii="Times New Roman" w:eastAsia="Times New Roman" w:hAnsi="Times New Roman" w:cs="Times New Roman"/>
                <w:sz w:val="20"/>
                <w:szCs w:val="20"/>
              </w:rPr>
              <w:t>непланирани</w:t>
            </w:r>
            <w:proofErr w:type="spellEnd"/>
            <w:r w:rsidRPr="00F62685">
              <w:rPr>
                <w:rFonts w:ascii="Times New Roman" w:eastAsia="Times New Roman" w:hAnsi="Times New Roman" w:cs="Times New Roman"/>
                <w:sz w:val="20"/>
                <w:szCs w:val="20"/>
              </w:rPr>
              <w:t xml:space="preserve"> транзитни превози на ядрен материал - дейност, която напълно зависи от външни за България фактори и не може да бъде надеждно прогнозирана. </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1. Не се приема</w:t>
            </w: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p>
          <w:p w:rsidR="00DC7AD7" w:rsidRPr="00F62685" w:rsidRDefault="00DC7AD7" w:rsidP="00DC7AD7">
            <w:pPr>
              <w:spacing w:after="0" w:line="240" w:lineRule="auto"/>
              <w:jc w:val="both"/>
              <w:rPr>
                <w:rFonts w:ascii="Times New Roman" w:eastAsia="Times New Roman" w:hAnsi="Times New Roman" w:cs="Times New Roman"/>
                <w:sz w:val="20"/>
                <w:szCs w:val="20"/>
              </w:rPr>
            </w:pPr>
          </w:p>
          <w:p w:rsidR="00DC7AD7" w:rsidRPr="00F62685" w:rsidRDefault="00DC7AD7" w:rsidP="00DC7AD7">
            <w:pPr>
              <w:spacing w:after="0" w:line="240" w:lineRule="auto"/>
              <w:jc w:val="both"/>
              <w:rPr>
                <w:rFonts w:ascii="Times New Roman" w:eastAsia="Times New Roman" w:hAnsi="Times New Roman" w:cs="Times New Roman"/>
                <w:sz w:val="20"/>
                <w:szCs w:val="20"/>
              </w:rPr>
            </w:pPr>
          </w:p>
          <w:p w:rsidR="00DC7AD7" w:rsidRPr="00F62685" w:rsidRDefault="00DC7AD7" w:rsidP="00DC7AD7">
            <w:pPr>
              <w:spacing w:after="0" w:line="240" w:lineRule="auto"/>
              <w:jc w:val="both"/>
              <w:rPr>
                <w:rFonts w:ascii="Times New Roman" w:eastAsia="Times New Roman" w:hAnsi="Times New Roman" w:cs="Times New Roman"/>
                <w:sz w:val="20"/>
                <w:szCs w:val="20"/>
              </w:rPr>
            </w:pPr>
          </w:p>
          <w:p w:rsidR="00DC7AD7" w:rsidRPr="00F62685" w:rsidRDefault="00DC7AD7" w:rsidP="00DC7AD7">
            <w:pPr>
              <w:spacing w:after="0" w:line="240" w:lineRule="auto"/>
              <w:jc w:val="both"/>
              <w:rPr>
                <w:rFonts w:ascii="Times New Roman" w:eastAsia="Times New Roman" w:hAnsi="Times New Roman" w:cs="Times New Roman"/>
                <w:sz w:val="20"/>
                <w:szCs w:val="20"/>
              </w:rPr>
            </w:pPr>
          </w:p>
          <w:p w:rsidR="00DC7AD7" w:rsidRPr="00F62685" w:rsidRDefault="00DC7AD7" w:rsidP="00DC7AD7">
            <w:pPr>
              <w:spacing w:after="0" w:line="240" w:lineRule="auto"/>
              <w:jc w:val="both"/>
              <w:rPr>
                <w:rFonts w:ascii="Times New Roman" w:eastAsia="Times New Roman" w:hAnsi="Times New Roman" w:cs="Times New Roman"/>
                <w:sz w:val="20"/>
                <w:szCs w:val="20"/>
              </w:rPr>
            </w:pPr>
          </w:p>
          <w:p w:rsidR="00DC7AD7" w:rsidRPr="00F62685" w:rsidRDefault="00DC7AD7" w:rsidP="00DC7AD7">
            <w:pPr>
              <w:spacing w:after="0" w:line="240" w:lineRule="auto"/>
              <w:jc w:val="both"/>
              <w:rPr>
                <w:rFonts w:ascii="Times New Roman" w:eastAsia="Times New Roman" w:hAnsi="Times New Roman" w:cs="Times New Roman"/>
                <w:sz w:val="20"/>
                <w:szCs w:val="20"/>
              </w:rPr>
            </w:pPr>
          </w:p>
          <w:p w:rsidR="00DC7AD7" w:rsidRPr="00F62685" w:rsidRDefault="00DC7AD7" w:rsidP="00DC7AD7">
            <w:pPr>
              <w:spacing w:after="0" w:line="240" w:lineRule="auto"/>
              <w:jc w:val="both"/>
              <w:rPr>
                <w:rFonts w:ascii="Times New Roman" w:eastAsia="Times New Roman" w:hAnsi="Times New Roman" w:cs="Times New Roman"/>
                <w:sz w:val="20"/>
                <w:szCs w:val="20"/>
              </w:rPr>
            </w:pPr>
          </w:p>
          <w:p w:rsidR="00DC7AD7" w:rsidRPr="00F62685" w:rsidRDefault="00DC7AD7" w:rsidP="00DC7AD7">
            <w:pPr>
              <w:spacing w:after="0" w:line="240" w:lineRule="auto"/>
              <w:jc w:val="both"/>
              <w:rPr>
                <w:rFonts w:ascii="Times New Roman" w:eastAsia="Times New Roman" w:hAnsi="Times New Roman" w:cs="Times New Roman"/>
                <w:sz w:val="20"/>
                <w:szCs w:val="20"/>
              </w:rPr>
            </w:pPr>
          </w:p>
          <w:p w:rsidR="00DC7AD7" w:rsidRPr="00F62685" w:rsidRDefault="00DC7AD7" w:rsidP="00DC7AD7">
            <w:pPr>
              <w:spacing w:after="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1. Приходите са увеличени на база направен анализ и отчетено преизпълнение през предходните години и изпълнение за 9-месечието на 2023 г. </w:t>
            </w:r>
          </w:p>
        </w:tc>
      </w:tr>
      <w:tr w:rsidR="00DC7AD7" w:rsidRPr="00F62685" w:rsidTr="00DE00BF">
        <w:trPr>
          <w:trHeight w:val="161"/>
        </w:trPr>
        <w:tc>
          <w:tcPr>
            <w:tcW w:w="941" w:type="pct"/>
            <w:vMerge/>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2. В чл. 41, ал. 1, ред II, т. 1.1. са предвидени разходи за персонал в размер на 4 408,3 хил. лв. Предвидената сума не включва предложеното от АЯР увеличение на разходите за персонал с 1 314, 4 хил. лв., с което не само, че не се решава, но напротив ще се задълбочи основният проблем на АЯР, а именно - липсата на кадри. Агенцията за ядрено регулиране е близо до критичното равнище по отношение на наличните човешки ресурси. Ако не бъдат взети спешни мерки има сериозен риск Агенцията </w:t>
            </w:r>
            <w:r w:rsidRPr="00F62685">
              <w:t xml:space="preserve"> </w:t>
            </w:r>
            <w:r w:rsidRPr="00F62685">
              <w:rPr>
                <w:rFonts w:ascii="Times New Roman" w:eastAsia="Times New Roman" w:hAnsi="Times New Roman" w:cs="Times New Roman"/>
                <w:sz w:val="20"/>
                <w:szCs w:val="20"/>
              </w:rPr>
              <w:t xml:space="preserve">да не може да изпълнява основните си функции в областта на регулирането на ядрената безопасност и радиационната защита, включително и дейностите по лицензирането на новите ядрени проекти (7 и 8 блок в Козлодуй) и на новото ядрено гориво произведено от </w:t>
            </w:r>
            <w:proofErr w:type="spellStart"/>
            <w:r w:rsidRPr="00F62685">
              <w:rPr>
                <w:rFonts w:ascii="Times New Roman" w:eastAsia="Times New Roman" w:hAnsi="Times New Roman" w:cs="Times New Roman"/>
                <w:sz w:val="20"/>
                <w:szCs w:val="20"/>
              </w:rPr>
              <w:t>Уестингхаус</w:t>
            </w:r>
            <w:proofErr w:type="spellEnd"/>
            <w:r w:rsidRPr="00F62685">
              <w:rPr>
                <w:rFonts w:ascii="Times New Roman" w:eastAsia="Times New Roman" w:hAnsi="Times New Roman" w:cs="Times New Roman"/>
                <w:sz w:val="20"/>
                <w:szCs w:val="20"/>
              </w:rPr>
              <w:t xml:space="preserve">. АЯР разполага с 114 нормативно определени щатни бройки, от които 16 служители са наети по трудово правоотношение, останалите по служебно. Към </w:t>
            </w:r>
            <w:r w:rsidRPr="00F62685">
              <w:rPr>
                <w:rFonts w:ascii="Times New Roman" w:eastAsia="Times New Roman" w:hAnsi="Times New Roman" w:cs="Times New Roman"/>
                <w:sz w:val="20"/>
                <w:szCs w:val="20"/>
              </w:rPr>
              <w:lastRenderedPageBreak/>
              <w:t xml:space="preserve">настоящия момент заетите бройки са 107. От гледна точка на възрастовата структура на персонала положението е тревожно с тенденция към влошаване. 33% от служителите са пенсионери или имат придобито право на пенсия. </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През 2013 г. в България се проведе мисия на Международната агенция за атомна енергия (МААЕ) за преглед на регулаторната дейност - International </w:t>
            </w:r>
            <w:proofErr w:type="spellStart"/>
            <w:r w:rsidRPr="00F62685">
              <w:rPr>
                <w:rFonts w:ascii="Times New Roman" w:eastAsia="Times New Roman" w:hAnsi="Times New Roman" w:cs="Times New Roman"/>
                <w:sz w:val="20"/>
                <w:szCs w:val="20"/>
              </w:rPr>
              <w:t>Regulatory</w:t>
            </w:r>
            <w:proofErr w:type="spellEnd"/>
            <w:r w:rsidRPr="00F62685">
              <w:rPr>
                <w:rFonts w:ascii="Times New Roman" w:eastAsia="Times New Roman" w:hAnsi="Times New Roman" w:cs="Times New Roman"/>
                <w:sz w:val="20"/>
                <w:szCs w:val="20"/>
              </w:rPr>
              <w:t xml:space="preserve"> </w:t>
            </w:r>
            <w:proofErr w:type="spellStart"/>
            <w:r w:rsidRPr="00F62685">
              <w:rPr>
                <w:rFonts w:ascii="Times New Roman" w:eastAsia="Times New Roman" w:hAnsi="Times New Roman" w:cs="Times New Roman"/>
                <w:sz w:val="20"/>
                <w:szCs w:val="20"/>
              </w:rPr>
              <w:t>Review</w:t>
            </w:r>
            <w:proofErr w:type="spellEnd"/>
            <w:r w:rsidRPr="00F62685">
              <w:rPr>
                <w:rFonts w:ascii="Times New Roman" w:eastAsia="Times New Roman" w:hAnsi="Times New Roman" w:cs="Times New Roman"/>
                <w:sz w:val="20"/>
                <w:szCs w:val="20"/>
              </w:rPr>
              <w:t xml:space="preserve"> Service (IRRS), В доклада си МААЕ отправя следното предложение: „Правителството трябва да обмисли въвеждането на допълнителни разпоредби за поддържане на компетенциите на достатъчен брой подходящо квалифицирани и опитни служители в АЯР“.</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През 2016 г. по време на последяващата IPRS мисия МААЕ установява, че не са настъпили положителни промени и констатира че „Поради ограниченията на заплатите на държаните служители е невъзможно да се задържат служителите на АЯР. Агенцията не може да се конкурира за експерти в различни области на ядрената безопасност поради по-добрите финансови условия, предлагани от частни фирми и организации в чужбина. Следователно регулаторния орган губи висококвалифициран персонал, който е получил продължително и скъпо обучение. Това високо ниво на текучество води ди отслабване на регулаторната система в България“. Съответно предложението от 2013 г. остава отворено. В допълнение, е направена следната нова констатация „Екипът на IRRS установи, че въпреки успешните усилия на АЯР да запълни вакантните позиции чрез подбор, броят на персонала не се е увеличил. Това се дължи на факта, че през същия период са напуснали 17 служители (от които 6 са се пенсионирали), тъй като АЯР не може да се конкурира за квалифицирани експерти с лицензианти, частни фирми в България и организации в чужбина. Ако тази тенденция не се промени, това може да доведе до загуба на компетенции в АЯР. Необходимо е също така да се има предвид, че обучението на нов персонал е скъп и отнемащ време процес“.</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Горните две констатации и изпълнението на предложенията ще бъдат проверени по време на предстоящата през ноември 2024 г. нова IRRS мисия и съответно ще бъде установено, че няма никакъв напредък по тях.</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Решаваща роля за преодоляване на описания кадрови проблем на АЯР има осигуряването на възнаграждения, които са адекватни на пазара на труда в сферата на ядрената енергетика, като по този </w:t>
            </w:r>
            <w:r w:rsidRPr="00F62685">
              <w:rPr>
                <w:rFonts w:ascii="Times New Roman" w:eastAsia="Times New Roman" w:hAnsi="Times New Roman" w:cs="Times New Roman"/>
                <w:sz w:val="20"/>
                <w:szCs w:val="20"/>
              </w:rPr>
              <w:lastRenderedPageBreak/>
              <w:t xml:space="preserve">начин от една страна ще се привлекат нови кадри, но също така ще бъдат задържани подготвени опитни експерти. </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Текущото ниско ниво на заплащане в АЯР може да повдигне въпроса дали България изпълнява изискванията на член 5 на Директива 2014/87/ЕВРАТОМ на Съвета от 8 юли 2014 година за изменение на Директива 2009/71/ЕВРАТОМ за установяване на общностна рамка за ядрената безопасност на ядрените инсталации по отношение на финансирането на регулаторния орган.</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Стандартите на МААЕ също препоръчват правителството да осигури на регулаторния орган необходимите ресурси за да може той да изпълнява вменените му в закона функции.</w:t>
            </w:r>
          </w:p>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sz w:val="20"/>
                <w:szCs w:val="20"/>
              </w:rPr>
              <w:t>Всички съображения, изложени по-горе, са представени на министъра на финансите и на министър-председателя с писмо с изх. № 02-00-185/6.11.2023г., както и на заместник министър-председателя г-жа Мария Габриел с писмо с изх. № 01-00-30/7.11.2023г.</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2. Приема се по принцип</w:t>
            </w:r>
          </w:p>
        </w:tc>
        <w:tc>
          <w:tcPr>
            <w:tcW w:w="1617" w:type="pct"/>
            <w:shd w:val="clear" w:color="auto" w:fill="auto"/>
          </w:tcPr>
          <w:p w:rsidR="00DC7AD7" w:rsidRPr="00F62685" w:rsidRDefault="00DC7AD7" w:rsidP="00DC7AD7">
            <w:pPr>
              <w:jc w:val="both"/>
              <w:rPr>
                <w:rFonts w:ascii="Times New Roman" w:eastAsia="Times New Roman" w:hAnsi="Times New Roman" w:cs="Times New Roman"/>
                <w:sz w:val="20"/>
                <w:szCs w:val="20"/>
                <w:lang w:eastAsia="zh-CN"/>
              </w:rPr>
            </w:pPr>
            <w:r w:rsidRPr="00F62685">
              <w:rPr>
                <w:rFonts w:ascii="Times New Roman" w:eastAsia="Times New Roman" w:hAnsi="Times New Roman" w:cs="Times New Roman"/>
                <w:sz w:val="20"/>
                <w:szCs w:val="20"/>
                <w:lang w:eastAsia="zh-CN"/>
              </w:rPr>
              <w:t>2. С цел преодоляване на диспропорции във възнагражденията на персонала в бюджетните организации (за изглаждане на наблюдавани значителни дисбаланси/</w:t>
            </w:r>
            <w:proofErr w:type="spellStart"/>
            <w:r w:rsidRPr="00F62685">
              <w:rPr>
                <w:rFonts w:ascii="Times New Roman" w:eastAsia="Times New Roman" w:hAnsi="Times New Roman" w:cs="Times New Roman"/>
                <w:sz w:val="20"/>
                <w:szCs w:val="20"/>
                <w:lang w:eastAsia="zh-CN"/>
              </w:rPr>
              <w:t>неравновесия</w:t>
            </w:r>
            <w:proofErr w:type="spellEnd"/>
            <w:r w:rsidRPr="00F62685">
              <w:rPr>
                <w:rFonts w:ascii="Times New Roman" w:eastAsia="Times New Roman" w:hAnsi="Times New Roman" w:cs="Times New Roman"/>
                <w:sz w:val="20"/>
                <w:szCs w:val="20"/>
                <w:lang w:eastAsia="zh-CN"/>
              </w:rPr>
              <w:t xml:space="preserve"> в нивото на заплащане на едни и същи длъжности в различни административни звена и структури в секторите, предоставящи публични услуги), включително и за увеличаване на възнагражденията на персонала за 2024 г., са предвидени допълнителни средства.</w:t>
            </w: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ДЪРЖАВНА КОМИСИЯ ПО СИГУРНОСТТА НА ИНФОРМАЦИЯТА</w:t>
            </w:r>
          </w:p>
        </w:tc>
        <w:tc>
          <w:tcPr>
            <w:tcW w:w="1868" w:type="pct"/>
            <w:shd w:val="clear" w:color="auto" w:fill="auto"/>
          </w:tcPr>
          <w:p w:rsidR="00DC7AD7" w:rsidRPr="00F62685" w:rsidRDefault="00DC7AD7" w:rsidP="00097BFC">
            <w:pPr>
              <w:spacing w:before="120" w:after="60" w:line="240" w:lineRule="auto"/>
              <w:jc w:val="center"/>
              <w:rPr>
                <w:rFonts w:ascii="Times New Roman" w:eastAsia="Times New Roman" w:hAnsi="Times New Roman" w:cs="Times New Roman"/>
                <w:b/>
                <w:sz w:val="20"/>
                <w:szCs w:val="20"/>
                <w:u w:val="single"/>
              </w:rPr>
            </w:pPr>
            <w:r w:rsidRPr="00F62685">
              <w:rPr>
                <w:rFonts w:ascii="Times New Roman" w:eastAsia="Times New Roman" w:hAnsi="Times New Roman" w:cs="Times New Roman"/>
                <w:b/>
                <w:sz w:val="20"/>
                <w:szCs w:val="20"/>
                <w:u w:val="single"/>
              </w:rPr>
              <w:t>СЪГЛАСУВА БЕЗ БЕЛЕЖКИ</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ДЪРЖАВНА АГЕНЦИЯ „ДЪРЖАВЕН РЕЗЕРВ И ВОЕННОВРЕМЕННИ ЗАПАСИ“</w:t>
            </w:r>
          </w:p>
        </w:tc>
        <w:tc>
          <w:tcPr>
            <w:tcW w:w="1868" w:type="pct"/>
            <w:shd w:val="clear" w:color="auto" w:fill="auto"/>
          </w:tcPr>
          <w:p w:rsidR="00DC7AD7" w:rsidRPr="00F62685" w:rsidRDefault="00DC7AD7" w:rsidP="00097BFC">
            <w:pPr>
              <w:spacing w:before="120" w:after="60" w:line="240" w:lineRule="auto"/>
              <w:jc w:val="center"/>
              <w:rPr>
                <w:rFonts w:ascii="Times New Roman" w:eastAsia="Times New Roman" w:hAnsi="Times New Roman" w:cs="Times New Roman"/>
                <w:b/>
                <w:sz w:val="20"/>
                <w:szCs w:val="20"/>
                <w:u w:val="single"/>
              </w:rPr>
            </w:pPr>
            <w:r w:rsidRPr="00F62685">
              <w:rPr>
                <w:rFonts w:ascii="Times New Roman" w:eastAsia="Times New Roman" w:hAnsi="Times New Roman" w:cs="Times New Roman"/>
                <w:b/>
                <w:sz w:val="20"/>
                <w:szCs w:val="20"/>
                <w:u w:val="single"/>
              </w:rPr>
              <w:t>СЪГЛАСУВА БЕЗ БЕЛЕЖКИ</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КОМИСИЯ ЗА ФИНАНСОВ НАДЗОР</w:t>
            </w: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КФН, на основание чл. 32 от УПМСНА, съгласува проекта на решение на Министерския съвет за одобряване на законопроект за държавния бюджет на Република България за 2024 г. и приложените материали, като дава следните бележки и предложения:</w:t>
            </w:r>
          </w:p>
          <w:p w:rsidR="00DC7AD7" w:rsidRPr="00F62685" w:rsidRDefault="00DC7AD7"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after="60" w:line="240" w:lineRule="auto"/>
              <w:jc w:val="both"/>
              <w:rPr>
                <w:rFonts w:ascii="Times New Roman" w:eastAsia="Times New Roman" w:hAnsi="Times New Roman" w:cs="Times New Roman"/>
                <w:i/>
                <w:sz w:val="20"/>
                <w:szCs w:val="20"/>
              </w:rPr>
            </w:pPr>
            <w:r w:rsidRPr="00F62685">
              <w:rPr>
                <w:rFonts w:ascii="Times New Roman" w:eastAsia="Times New Roman" w:hAnsi="Times New Roman" w:cs="Times New Roman"/>
                <w:sz w:val="20"/>
                <w:szCs w:val="20"/>
              </w:rPr>
              <w:t xml:space="preserve">1. Предлага чл. 44 от проекта на закон за държавния бюджет на Република България за 2024 г. да се измени така: </w:t>
            </w:r>
            <w:r w:rsidRPr="00F62685">
              <w:rPr>
                <w:rFonts w:ascii="Times New Roman" w:eastAsia="Times New Roman" w:hAnsi="Times New Roman" w:cs="Times New Roman"/>
                <w:i/>
                <w:sz w:val="20"/>
                <w:szCs w:val="20"/>
              </w:rPr>
              <w:t>(съгласно писмото)</w:t>
            </w:r>
          </w:p>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Мотиви:</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Комисията за финансов надзор неколкократно и изчерпателно обоснова необходимостта от актуализиране на бюджетната </w:t>
            </w:r>
            <w:r w:rsidRPr="00F62685">
              <w:rPr>
                <w:rFonts w:ascii="Times New Roman" w:eastAsia="Times New Roman" w:hAnsi="Times New Roman" w:cs="Times New Roman"/>
                <w:sz w:val="20"/>
                <w:szCs w:val="20"/>
              </w:rPr>
              <w:lastRenderedPageBreak/>
              <w:t>прогноза и проектобюджета й за 2024 г. като бяха предоставени и конкретни размери на бюджетните разходи, максималните размери на ангажиментите за разходи, които могат да бъдат поети през 2024 г. и максималните размери на новите задължения за разходи, които да могат да бъдат натрупани през 2024 г.</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Отново може да бъде посочено, че в проведени разговори с екипа на Министерството на финансите, както и в хода на работата на създадената със Ваша заповед междуведомствена работна група. Комисията за финансов надзор се очаква да бъде определена като основен компетентен орган по прилагането на Регламент (ЕС) 2023/1114 относно пазарите на криптоактиви и за изменение на регламенти (ЕС) № 1093/2010 и (ЕС) № 1095/2010 и на директиви 2013/36/ЕС и (ЕС) 2019/1937 (</w:t>
            </w:r>
            <w:proofErr w:type="spellStart"/>
            <w:r w:rsidRPr="00F62685">
              <w:rPr>
                <w:rFonts w:ascii="Times New Roman" w:eastAsia="Times New Roman" w:hAnsi="Times New Roman" w:cs="Times New Roman"/>
                <w:sz w:val="20"/>
                <w:szCs w:val="20"/>
              </w:rPr>
              <w:t>MiCAR</w:t>
            </w:r>
            <w:proofErr w:type="spellEnd"/>
            <w:r w:rsidRPr="00F62685">
              <w:rPr>
                <w:rFonts w:ascii="Times New Roman" w:eastAsia="Times New Roman" w:hAnsi="Times New Roman" w:cs="Times New Roman"/>
                <w:sz w:val="20"/>
                <w:szCs w:val="20"/>
              </w:rPr>
              <w:t xml:space="preserve">). Ефективното прилагане на </w:t>
            </w:r>
            <w:proofErr w:type="spellStart"/>
            <w:r w:rsidRPr="00F62685">
              <w:rPr>
                <w:rFonts w:ascii="Times New Roman" w:eastAsia="Times New Roman" w:hAnsi="Times New Roman" w:cs="Times New Roman"/>
                <w:sz w:val="20"/>
                <w:szCs w:val="20"/>
              </w:rPr>
              <w:t>MiCAR</w:t>
            </w:r>
            <w:proofErr w:type="spellEnd"/>
            <w:r w:rsidRPr="00F62685">
              <w:rPr>
                <w:rFonts w:ascii="Times New Roman" w:eastAsia="Times New Roman" w:hAnsi="Times New Roman" w:cs="Times New Roman"/>
                <w:sz w:val="20"/>
                <w:szCs w:val="20"/>
              </w:rPr>
              <w:t xml:space="preserve"> подчерта и Европейският орган за ценни книжа и пазари в свое писмо, приложение към настоящото, до Съвета на Европейския съюз, Европейската комисия и Европейския парламент (ESMA75-840896669-45/17.10.2023 г.), като за първостепенна задача към държавите членки е посочено навременното определяне на националните компетентни органи и гарантиране на адекватни правомощия и ресурси за изпълнение на държавния надзор по този регламент. Комисията за финансов надзор предлага размера на необходимите й ресурси за 2024 г. да бъде повишен с 937 400 лв.</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Мотивирано бе очертана и необходимостта от допълнителен ресурс за изпълнение на задълженията на Комисията за финансов надзор като представител на Република България в структурите на Европейските надзорни органи поради повишения размер на членския внос. Комисията за финансов надзор предлага допълнително да бъдат определени 1 122 000 лв. за членски внос за 2024 г. в посочените европейски органи.</w:t>
            </w:r>
          </w:p>
          <w:p w:rsidR="00DC7AD7" w:rsidRPr="00F62685" w:rsidRDefault="00DC7AD7" w:rsidP="002D45D5">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Предложението отразява също така нуждата от обезпечаване ролята на Комисията за финансов надзор в дейностите по приемането на еврото в Република България. Комисията за финансов надзор предлага да бъдат отпуснати допълнително 149 000 лв. за 2024 г. за обезпечаване на тези дейности.</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Приема се частично</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E305D6" w:rsidRDefault="00E305D6" w:rsidP="00E305D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Сумата в размер на 937 000 лв. във връзка с  прилагането на Регламент (ЕС) 2023/1114 относно пазарите на криптоактиви и за изменение на регламенти (ЕС) № 1093/2010 и (ЕС) № 1095/2010 и на директиви 2013/36/ЕС и (ЕС) 2019/1937 (</w:t>
            </w:r>
            <w:proofErr w:type="spellStart"/>
            <w:r>
              <w:rPr>
                <w:rFonts w:ascii="Times New Roman" w:eastAsia="Times New Roman" w:hAnsi="Times New Roman" w:cs="Times New Roman"/>
                <w:sz w:val="20"/>
                <w:szCs w:val="20"/>
              </w:rPr>
              <w:t>MiCAR</w:t>
            </w:r>
            <w:proofErr w:type="spellEnd"/>
            <w:r>
              <w:rPr>
                <w:rFonts w:ascii="Times New Roman" w:eastAsia="Times New Roman" w:hAnsi="Times New Roman" w:cs="Times New Roman"/>
                <w:sz w:val="20"/>
                <w:szCs w:val="20"/>
              </w:rPr>
              <w:t xml:space="preserve">) е планирана по централния бюджет и ще бъде предоставена по реда на ЗПФ след приемането на съответните нормативни </w:t>
            </w:r>
            <w:r>
              <w:rPr>
                <w:rFonts w:ascii="Times New Roman" w:eastAsia="Times New Roman" w:hAnsi="Times New Roman" w:cs="Times New Roman"/>
                <w:sz w:val="20"/>
                <w:szCs w:val="20"/>
              </w:rPr>
              <w:lastRenderedPageBreak/>
              <w:t xml:space="preserve">промени и възлагането на дейностите на </w:t>
            </w:r>
            <w:r w:rsidRPr="004366E6">
              <w:rPr>
                <w:rFonts w:ascii="Times New Roman" w:eastAsia="Times New Roman" w:hAnsi="Times New Roman" w:cs="Times New Roman"/>
                <w:sz w:val="20"/>
                <w:szCs w:val="20"/>
              </w:rPr>
              <w:t>Комисията за финансов надзор.</w:t>
            </w:r>
          </w:p>
          <w:p w:rsidR="00E305D6" w:rsidRDefault="00E305D6" w:rsidP="00E305D6">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5334A9">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2. Предлага в проекта на Актуализирана средносрочна бюджетна прогноза за периода 2024-2026 г., представляваща мотиви към законопроекта за държавния бюджет на Република България за 2024 г., приложение към т. 4, в приложение № 4 (стр. 260), т. 40 да се измени така: </w:t>
            </w:r>
            <w:r w:rsidRPr="00F62685">
              <w:rPr>
                <w:rFonts w:ascii="Times New Roman" w:eastAsia="Times New Roman" w:hAnsi="Times New Roman" w:cs="Times New Roman"/>
                <w:i/>
                <w:sz w:val="20"/>
                <w:szCs w:val="20"/>
              </w:rPr>
              <w:t>(съгласно писмото).</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Не се приема</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82189C" w:rsidRDefault="00DC7AD7" w:rsidP="00DC7AD7">
            <w:pPr>
              <w:spacing w:line="240" w:lineRule="auto"/>
              <w:jc w:val="both"/>
              <w:rPr>
                <w:rFonts w:ascii="Times New Roman" w:hAnsi="Times New Roman" w:cs="Times New Roman"/>
                <w:color w:val="000000"/>
                <w:sz w:val="20"/>
                <w:szCs w:val="20"/>
              </w:rPr>
            </w:pPr>
            <w:r w:rsidRPr="0082189C">
              <w:rPr>
                <w:rFonts w:ascii="Times New Roman" w:hAnsi="Times New Roman" w:cs="Times New Roman"/>
                <w:color w:val="000000"/>
                <w:sz w:val="20"/>
                <w:szCs w:val="20"/>
              </w:rPr>
              <w:t xml:space="preserve">Предложеният размер на разходите по бюджета на Комисията за финансов надзор е съобразен с възможностите на държавния бюджет за 2024 г., базиран на есенната макроикономическа прогноза на Министерството на финансите, на действащото законодателство, прилагане на възприетите политики и допускания от правителството за периода 2024-2026 г., </w:t>
            </w:r>
            <w:r w:rsidRPr="0082189C">
              <w:rPr>
                <w:rFonts w:ascii="Times New Roman" w:hAnsi="Times New Roman" w:cs="Times New Roman"/>
                <w:color w:val="000000"/>
                <w:sz w:val="20"/>
                <w:szCs w:val="20"/>
              </w:rPr>
              <w:lastRenderedPageBreak/>
              <w:t>отчетни данни и оценка на възможностите за реализиране на инвестиционните разходи в рамките на бюджетната година, предприетите оптимизиращи приходни и разходни мерки със съответните ефекти и предложения за законодателни промени.</w:t>
            </w:r>
          </w:p>
          <w:p w:rsidR="00DC7AD7" w:rsidRPr="00F62685" w:rsidRDefault="00DC7AD7" w:rsidP="00DC7AD7">
            <w:pPr>
              <w:spacing w:after="0" w:line="240" w:lineRule="auto"/>
              <w:jc w:val="both"/>
              <w:rPr>
                <w:rFonts w:ascii="Times New Roman" w:eastAsia="Times New Roman" w:hAnsi="Times New Roman" w:cs="Times New Roman"/>
                <w:sz w:val="20"/>
                <w:szCs w:val="20"/>
              </w:rPr>
            </w:pPr>
            <w:r w:rsidRPr="0082189C">
              <w:rPr>
                <w:rFonts w:ascii="Times New Roman" w:hAnsi="Times New Roman" w:cs="Times New Roman"/>
                <w:color w:val="000000"/>
                <w:sz w:val="20"/>
                <w:szCs w:val="20"/>
              </w:rPr>
              <w:t>В тази връзка и предвид ограниченото фискално пространство, на този етап предложения за увеличения в разходната част не биха могли да бъдат удовлетворени.</w:t>
            </w: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КОМИСИЯ ЗА ПУБЛИЧЕН НАДЗОР НАД РЕГИСТРИРАНИТЕ ОДИТОРИ</w:t>
            </w:r>
          </w:p>
        </w:tc>
        <w:tc>
          <w:tcPr>
            <w:tcW w:w="1868" w:type="pct"/>
            <w:shd w:val="clear" w:color="auto" w:fill="auto"/>
          </w:tcPr>
          <w:p w:rsidR="00DC7AD7" w:rsidRPr="00F62685" w:rsidRDefault="00DC7AD7" w:rsidP="00097BFC">
            <w:pPr>
              <w:spacing w:before="120" w:after="60" w:line="240" w:lineRule="auto"/>
              <w:jc w:val="center"/>
              <w:rPr>
                <w:rFonts w:ascii="Times New Roman" w:eastAsia="Times New Roman" w:hAnsi="Times New Roman" w:cs="Times New Roman"/>
                <w:b/>
                <w:sz w:val="20"/>
                <w:szCs w:val="20"/>
                <w:u w:val="single"/>
              </w:rPr>
            </w:pPr>
            <w:r w:rsidRPr="00F62685">
              <w:rPr>
                <w:rFonts w:ascii="Times New Roman" w:eastAsia="Times New Roman" w:hAnsi="Times New Roman" w:cs="Times New Roman"/>
                <w:b/>
                <w:sz w:val="20"/>
                <w:szCs w:val="20"/>
                <w:u w:val="single"/>
              </w:rPr>
              <w:t>СЪГЛАСУВА БЕЗ БЕЛЕЖКИ</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ЦЕНТРАЛНА ИЗБИРАТЕЛНА КОМИСИЯ</w:t>
            </w:r>
          </w:p>
        </w:tc>
        <w:tc>
          <w:tcPr>
            <w:tcW w:w="1868" w:type="pct"/>
            <w:shd w:val="clear" w:color="auto" w:fill="auto"/>
          </w:tcPr>
          <w:p w:rsidR="00DC7AD7" w:rsidRPr="00F62685" w:rsidRDefault="00DC7AD7" w:rsidP="00097BFC">
            <w:pPr>
              <w:spacing w:before="120" w:after="60" w:line="240" w:lineRule="auto"/>
              <w:jc w:val="center"/>
              <w:rPr>
                <w:rFonts w:ascii="Times New Roman" w:eastAsia="Times New Roman" w:hAnsi="Times New Roman" w:cs="Times New Roman"/>
                <w:b/>
                <w:sz w:val="20"/>
                <w:szCs w:val="20"/>
                <w:u w:val="single"/>
              </w:rPr>
            </w:pPr>
            <w:r w:rsidRPr="00F62685">
              <w:rPr>
                <w:rFonts w:ascii="Times New Roman" w:eastAsia="Times New Roman" w:hAnsi="Times New Roman" w:cs="Times New Roman"/>
                <w:b/>
                <w:sz w:val="20"/>
                <w:szCs w:val="20"/>
                <w:u w:val="single"/>
              </w:rPr>
              <w:t>СЪГЛАСУВА БЕЗ БЕЛЕЖКИ</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ДЪРЖАВЕН ФОНД „ЗЕМЕДЕЛИЕ“</w:t>
            </w: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Държавен фонд „Земеделие“ съгласува проект на Решение на Министерския съвет за одобряване на законопроект за държавния бюджет на Република България за 2024 г. и материалите към него, със следните бележки:</w:t>
            </w:r>
          </w:p>
          <w:p w:rsidR="00DC7AD7" w:rsidRPr="00F62685" w:rsidRDefault="00DC7AD7"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BD2743">
              <w:rPr>
                <w:rFonts w:ascii="Times New Roman" w:eastAsia="Times New Roman" w:hAnsi="Times New Roman" w:cs="Times New Roman"/>
                <w:b/>
                <w:sz w:val="20"/>
                <w:szCs w:val="20"/>
              </w:rPr>
              <w:t>1.</w:t>
            </w:r>
            <w:r w:rsidRPr="00F62685">
              <w:rPr>
                <w:rFonts w:ascii="Times New Roman" w:eastAsia="Times New Roman" w:hAnsi="Times New Roman" w:cs="Times New Roman"/>
                <w:sz w:val="20"/>
                <w:szCs w:val="20"/>
              </w:rPr>
              <w:tab/>
              <w:t>На страница 153 в проекта на Актуализираната средносрочна бюджетна прогноза за периода 2024–2026 г. в текста:</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Изпълнение на бюджета по ЕЗФРСР. Съгласно европейското законодателство бюджетът на Програмата за развитие на селските райони е разделен по години от 2014 до 2020 г., като средствата за всяка година могат да бъдат разплатени единствено в рамките на следващите три години. Съгласно Регламент (ЕС) 2020/2220 на Европейския парламент и на Съвета от 23 декември 2020 година България следва да ползва в текущия програмен период бюджета за 2021 г. и 2022 г. от следващия период.</w:t>
            </w:r>
          </w:p>
          <w:p w:rsidR="00DC7AD7" w:rsidRPr="00F62685" w:rsidRDefault="00DC7AD7"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предлагаме следната корекция:</w:t>
            </w:r>
          </w:p>
          <w:p w:rsidR="00DC7AD7" w:rsidRPr="00F62685" w:rsidRDefault="00DC7AD7"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lastRenderedPageBreak/>
              <w:t></w:t>
            </w:r>
            <w:r w:rsidRPr="00F62685">
              <w:rPr>
                <w:rFonts w:ascii="Times New Roman" w:eastAsia="Times New Roman" w:hAnsi="Times New Roman" w:cs="Times New Roman"/>
                <w:sz w:val="20"/>
                <w:szCs w:val="20"/>
              </w:rPr>
              <w:tab/>
              <w:t>Изпълнение на бюджета по ЕЗФРСР. Съгласно европейското законодателство бюджетът на Програмата за развитие на селските райони е разделен по години от 2014 до 2020 г., като средствата за всяка година могат да бъдат разплатени единствено в рамките на следващите три години. Съгласно Регламент (ЕС) 2020/2220 на Европейския парламент и на Съвета от 23 декември 2020 година България следва да ползва в текущия програмен период бюджета за 2021 г.</w:t>
            </w:r>
            <w:r>
              <w:rPr>
                <w:rFonts w:ascii="Times New Roman" w:eastAsia="Times New Roman" w:hAnsi="Times New Roman" w:cs="Times New Roman"/>
                <w:sz w:val="20"/>
                <w:szCs w:val="20"/>
              </w:rPr>
              <w:t xml:space="preserve"> и 2022 г. от следващия период.</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Приема се</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Отразено в </w:t>
            </w:r>
            <w:r>
              <w:t xml:space="preserve"> </w:t>
            </w:r>
            <w:r>
              <w:rPr>
                <w:rFonts w:ascii="Times New Roman" w:eastAsia="Times New Roman" w:hAnsi="Times New Roman" w:cs="Times New Roman"/>
                <w:sz w:val="20"/>
                <w:szCs w:val="20"/>
              </w:rPr>
              <w:t>Актуализираната средносрочна бюджетна прогноза за периода 2024 – 2026 г.</w:t>
            </w: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B32B7">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BD2743">
              <w:rPr>
                <w:rFonts w:ascii="Times New Roman" w:eastAsia="Times New Roman" w:hAnsi="Times New Roman" w:cs="Times New Roman"/>
                <w:b/>
                <w:sz w:val="20"/>
                <w:szCs w:val="20"/>
              </w:rPr>
              <w:t>2.</w:t>
            </w:r>
            <w:r w:rsidRPr="00BD2743">
              <w:rPr>
                <w:rFonts w:ascii="Times New Roman" w:eastAsia="Times New Roman" w:hAnsi="Times New Roman" w:cs="Times New Roman"/>
                <w:b/>
                <w:sz w:val="20"/>
                <w:szCs w:val="20"/>
              </w:rPr>
              <w:tab/>
            </w:r>
            <w:r w:rsidRPr="00F62685">
              <w:rPr>
                <w:rFonts w:ascii="Times New Roman" w:eastAsia="Times New Roman" w:hAnsi="Times New Roman" w:cs="Times New Roman"/>
                <w:sz w:val="20"/>
                <w:szCs w:val="20"/>
              </w:rPr>
              <w:t>На страница 154 в проекта на Актуализираната средносрочна бюджетна прогноза за периода 2024–2026 г. в текста:</w:t>
            </w:r>
          </w:p>
          <w:p w:rsidR="00DC7AD7" w:rsidRPr="00F62685" w:rsidRDefault="00DC7AD7"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1.</w:t>
            </w:r>
            <w:r w:rsidRPr="00F62685">
              <w:rPr>
                <w:rFonts w:ascii="Times New Roman" w:eastAsia="Times New Roman" w:hAnsi="Times New Roman" w:cs="Times New Roman"/>
                <w:sz w:val="20"/>
                <w:szCs w:val="20"/>
              </w:rPr>
              <w:tab/>
              <w:t>Схеми за преходна национална помощ</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Целта на преходната национална помощ е да приближи нивото на подкрепа на българските производители с останалите държави членки и да повиши конкурентоспособността им, да предостави възможност за последователност в политиката и подпомагане с максимална продължителност с национални средства на сектор „Тютюн“, да осигури допълнително подпомагане на говедовъдството и отглеждането на овце и кози. Прилагането на схемите изисква осъществяването на ежегодна нотификация до Европейската комисия и се финансира от националния бюджет.</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През програмния период 2014-2020 г. могат да бъдат прилагани следните схеми за преходна национална помощ:</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w:t>
            </w:r>
            <w:r w:rsidRPr="00F62685">
              <w:rPr>
                <w:rFonts w:ascii="Times New Roman" w:eastAsia="Times New Roman" w:hAnsi="Times New Roman" w:cs="Times New Roman"/>
                <w:sz w:val="20"/>
                <w:szCs w:val="20"/>
              </w:rPr>
              <w:tab/>
              <w:t>Схема за преходна национална помощ за земеделска земя на хектар;</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w:t>
            </w:r>
            <w:r w:rsidRPr="00F62685">
              <w:rPr>
                <w:rFonts w:ascii="Times New Roman" w:eastAsia="Times New Roman" w:hAnsi="Times New Roman" w:cs="Times New Roman"/>
                <w:sz w:val="20"/>
                <w:szCs w:val="20"/>
              </w:rPr>
              <w:tab/>
              <w:t>Схема за преходна национална помощ за тютюн, необвързана с производството;</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w:t>
            </w:r>
            <w:r w:rsidRPr="00F62685">
              <w:rPr>
                <w:rFonts w:ascii="Times New Roman" w:eastAsia="Times New Roman" w:hAnsi="Times New Roman" w:cs="Times New Roman"/>
                <w:sz w:val="20"/>
                <w:szCs w:val="20"/>
              </w:rPr>
              <w:tab/>
              <w:t>Схема за преходна национална помощ за говеда, необвързана с производството;</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w:t>
            </w:r>
            <w:r w:rsidRPr="00F62685">
              <w:rPr>
                <w:rFonts w:ascii="Times New Roman" w:eastAsia="Times New Roman" w:hAnsi="Times New Roman" w:cs="Times New Roman"/>
                <w:sz w:val="20"/>
                <w:szCs w:val="20"/>
              </w:rPr>
              <w:tab/>
              <w:t>Схема за преходна национална помощ за овце-майки и/или кози-майки, обвързана с производството.</w:t>
            </w:r>
          </w:p>
          <w:p w:rsidR="00DC7AD7" w:rsidRPr="00F62685" w:rsidRDefault="00DC7AD7"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предлагаме следната корекция:</w:t>
            </w:r>
          </w:p>
          <w:p w:rsidR="00DC7AD7" w:rsidRPr="00F62685" w:rsidRDefault="00DC7AD7"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1.</w:t>
            </w:r>
            <w:r w:rsidRPr="00F62685">
              <w:rPr>
                <w:rFonts w:ascii="Times New Roman" w:eastAsia="Times New Roman" w:hAnsi="Times New Roman" w:cs="Times New Roman"/>
                <w:sz w:val="20"/>
                <w:szCs w:val="20"/>
              </w:rPr>
              <w:tab/>
              <w:t>Интервенции за преходна национална помощ</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Целта на преходната национална помощ е да приближи нивото на подкрепа на българските производители с останалите </w:t>
            </w:r>
            <w:r w:rsidRPr="00F62685">
              <w:rPr>
                <w:rFonts w:ascii="Times New Roman" w:eastAsia="Times New Roman" w:hAnsi="Times New Roman" w:cs="Times New Roman"/>
                <w:sz w:val="20"/>
                <w:szCs w:val="20"/>
              </w:rPr>
              <w:lastRenderedPageBreak/>
              <w:t>държави членки и да повиши конкурентоспособността им, да предостави възможност за последователност в политиката и подпомагане с максимална продължителност с национални средства на сектор „Тютюн“, да осигури допълнително подпомагане на говедовъдството и отглеждането на овце и кози. Прилагането на интервенциите изисква осъществяването на ежегодна нотификация до Европейската комисия и се финансира от националния бюджет.</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През програмния период 2023–2027 г. могат да бъдат прилагани следните интервенции за преходна национална помощ:</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w:t>
            </w:r>
            <w:r w:rsidRPr="00F62685">
              <w:rPr>
                <w:rFonts w:ascii="Times New Roman" w:eastAsia="Times New Roman" w:hAnsi="Times New Roman" w:cs="Times New Roman"/>
                <w:sz w:val="20"/>
                <w:szCs w:val="20"/>
              </w:rPr>
              <w:tab/>
              <w:t>Интервенция за преходна национална помощ за тютюн, необвързана с производството;</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w:t>
            </w:r>
            <w:r w:rsidRPr="00F62685">
              <w:rPr>
                <w:rFonts w:ascii="Times New Roman" w:eastAsia="Times New Roman" w:hAnsi="Times New Roman" w:cs="Times New Roman"/>
                <w:sz w:val="20"/>
                <w:szCs w:val="20"/>
              </w:rPr>
              <w:tab/>
              <w:t>Интервенция за преходна национална помощ за говеда, необвързана с производството;</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w:t>
            </w:r>
            <w:r w:rsidRPr="00F62685">
              <w:rPr>
                <w:rFonts w:ascii="Times New Roman" w:eastAsia="Times New Roman" w:hAnsi="Times New Roman" w:cs="Times New Roman"/>
                <w:sz w:val="20"/>
                <w:szCs w:val="20"/>
              </w:rPr>
              <w:tab/>
              <w:t>Интервенция за преходна национална помощ за овце-майки и/или кози-майки, обвързана с производството.</w:t>
            </w:r>
          </w:p>
          <w:p w:rsidR="00DC7AD7" w:rsidRPr="00F62685" w:rsidRDefault="00DC7AD7"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after="60" w:line="240" w:lineRule="auto"/>
              <w:jc w:val="both"/>
              <w:rPr>
                <w:rFonts w:ascii="Times New Roman" w:eastAsia="Times New Roman" w:hAnsi="Times New Roman" w:cs="Times New Roman"/>
                <w:b/>
                <w:sz w:val="20"/>
                <w:szCs w:val="20"/>
              </w:rPr>
            </w:pP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Приема се</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Отразено в </w:t>
            </w:r>
            <w:r>
              <w:t xml:space="preserve"> </w:t>
            </w:r>
            <w:r>
              <w:rPr>
                <w:rFonts w:ascii="Times New Roman" w:eastAsia="Times New Roman" w:hAnsi="Times New Roman" w:cs="Times New Roman"/>
                <w:sz w:val="20"/>
                <w:szCs w:val="20"/>
              </w:rPr>
              <w:t>Актуализираната средносрочна бюджетна прогноза за периода 2024 – 2026 г.</w:t>
            </w:r>
          </w:p>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B32B7">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BD2743">
              <w:rPr>
                <w:rFonts w:ascii="Times New Roman" w:eastAsia="Times New Roman" w:hAnsi="Times New Roman" w:cs="Times New Roman"/>
                <w:b/>
                <w:sz w:val="20"/>
                <w:szCs w:val="20"/>
              </w:rPr>
              <w:t>3.</w:t>
            </w:r>
            <w:r w:rsidRPr="00BD2743">
              <w:rPr>
                <w:rFonts w:ascii="Times New Roman" w:eastAsia="Times New Roman" w:hAnsi="Times New Roman" w:cs="Times New Roman"/>
                <w:b/>
                <w:sz w:val="20"/>
                <w:szCs w:val="20"/>
              </w:rPr>
              <w:tab/>
            </w:r>
            <w:r w:rsidRPr="00F62685">
              <w:rPr>
                <w:rFonts w:ascii="Times New Roman" w:eastAsia="Times New Roman" w:hAnsi="Times New Roman" w:cs="Times New Roman"/>
                <w:sz w:val="20"/>
                <w:szCs w:val="20"/>
              </w:rPr>
              <w:t>На страница 155 в проекта на Актуализираната средносрочна бюджетна прогноза за периода 2024–2026 г. предлагаме да отпаднат следните текстове:</w:t>
            </w:r>
          </w:p>
          <w:p w:rsidR="00DC7AD7" w:rsidRPr="00F62685" w:rsidRDefault="00DC7AD7"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 Интервенционно изкупуване и съхранение на зърно </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Интервенцията на пазара на полски култури обхваща изкупуване, съхранение и продажби на зърно и ориз. Тя се влияе от движението на зърнения пазар и реколтата за съответната година. Ежегодно в периода 1 ноември – 31 май се отваря автоматично схемата за изкупуване на обикновена пшеница на фиксирана цена, а откриването на интервенция за останалите продукти става след решение на ЕК, ако ситуацията на пазара налага това. Настоящата ситуация на пазара не предполага изкупуването на интервенционни количества зърно и ориз. Последната кампания по интервенционно изкупуване на зърно е проведена през 2010/2011 г., а натрупаните интервенционни запаси в страната са изчистени през 2012 г. чрез предоставянето им за програма „Благотворителни операции”. Сумата по покупката се възстановява от ЕК при продажбата на зърно, която най-вероятно ще се реализира най-рано през следваща пазарна година. </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4. Схеми за извънредни помощи в сектора на млякото </w:t>
            </w:r>
          </w:p>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sz w:val="20"/>
                <w:szCs w:val="20"/>
              </w:rPr>
              <w:lastRenderedPageBreak/>
              <w:t>След 2015 г. Европейската комисия ежегодно приема мерки за регулиране на кризите в сектора на млякото и млечното животновъдство.</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Приема се</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Отразено в </w:t>
            </w:r>
            <w:r>
              <w:t xml:space="preserve"> </w:t>
            </w:r>
            <w:r>
              <w:rPr>
                <w:rFonts w:ascii="Times New Roman" w:eastAsia="Times New Roman" w:hAnsi="Times New Roman" w:cs="Times New Roman"/>
                <w:sz w:val="20"/>
                <w:szCs w:val="20"/>
              </w:rPr>
              <w:t>Актуализираната средносрочна бюджетна прогноза за периода 2024 – 2026 г.</w:t>
            </w:r>
          </w:p>
        </w:tc>
      </w:tr>
      <w:tr w:rsidR="00DC7AD7" w:rsidRPr="00F62685" w:rsidTr="00EB32B7">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4.</w:t>
            </w:r>
            <w:r w:rsidRPr="00F62685">
              <w:rPr>
                <w:rFonts w:ascii="Times New Roman" w:eastAsia="Times New Roman" w:hAnsi="Times New Roman" w:cs="Times New Roman"/>
                <w:sz w:val="20"/>
                <w:szCs w:val="20"/>
              </w:rPr>
              <w:tab/>
              <w:t>На страница 157 в проекта на Актуализираната средносрочна бюджетна прогноза за периода 2024–2026 г. в текста:</w:t>
            </w:r>
          </w:p>
          <w:p w:rsidR="00DC7AD7" w:rsidRPr="00F62685" w:rsidRDefault="00DC7AD7"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Ключов индикатор за изпълнение на политиката в частта на ДФЗ е:</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F62685">
              <w:rPr>
                <w:rFonts w:ascii="Times New Roman" w:eastAsia="Times New Roman" w:hAnsi="Times New Roman" w:cs="Times New Roman"/>
                <w:sz w:val="20"/>
                <w:szCs w:val="20"/>
              </w:rPr>
              <w:t xml:space="preserve">Изпълнение на бюджета по ПМДР  2014-2020 по правилото N+3 (ЕФМДР) </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предлагаме следната корекция:</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Ключов индикатор за изпълнение на политиката в частта на ДФЗ е:</w:t>
            </w:r>
          </w:p>
          <w:p w:rsidR="00DC7AD7" w:rsidRPr="00F62685" w:rsidRDefault="00DC7AD7" w:rsidP="00097BFC">
            <w:pPr>
              <w:spacing w:after="6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 </w:t>
            </w:r>
            <w:r w:rsidRPr="00F62685">
              <w:rPr>
                <w:rFonts w:ascii="Times New Roman" w:eastAsia="Times New Roman" w:hAnsi="Times New Roman" w:cs="Times New Roman"/>
                <w:sz w:val="20"/>
                <w:szCs w:val="20"/>
              </w:rPr>
              <w:t>Изпълнение на бюджета по ЕФМДР/ЕФМДРА</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Приема се</w:t>
            </w: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Отразено в Актуализираната средносрочна бюджетна прогноза за периода 2024 – 2026 г.</w:t>
            </w:r>
          </w:p>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b/>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НАЦИОНАЛНО БЮРО ЗА КОНТРОЛ НА СПЕЦИАЛНИТЕ РАЗУЗНАВАТЕЛНИ СРЕДСТВА</w:t>
            </w:r>
          </w:p>
        </w:tc>
        <w:tc>
          <w:tcPr>
            <w:tcW w:w="1868" w:type="pct"/>
            <w:shd w:val="clear" w:color="auto" w:fill="auto"/>
          </w:tcPr>
          <w:p w:rsidR="00DC7AD7" w:rsidRPr="00F62685" w:rsidRDefault="00DC7AD7" w:rsidP="00097BFC">
            <w:pPr>
              <w:spacing w:before="120" w:after="60" w:line="240" w:lineRule="auto"/>
              <w:jc w:val="center"/>
              <w:rPr>
                <w:rFonts w:ascii="Times New Roman" w:eastAsia="Times New Roman" w:hAnsi="Times New Roman" w:cs="Times New Roman"/>
                <w:b/>
                <w:sz w:val="20"/>
                <w:szCs w:val="20"/>
                <w:u w:val="single"/>
              </w:rPr>
            </w:pPr>
            <w:r w:rsidRPr="00F62685">
              <w:rPr>
                <w:rFonts w:ascii="Times New Roman" w:eastAsia="Times New Roman" w:hAnsi="Times New Roman" w:cs="Times New Roman"/>
                <w:b/>
                <w:sz w:val="20"/>
                <w:szCs w:val="20"/>
                <w:u w:val="single"/>
              </w:rPr>
              <w:t>СЪГЛАСУВА БЕЗ БЕЛЕЖКИ</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b/>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ДЪРЖАВНА АГЕНЦИЯ „ТЕХНИЧЕСКИ ОПЕРАЦИИ“</w:t>
            </w:r>
          </w:p>
        </w:tc>
        <w:tc>
          <w:tcPr>
            <w:tcW w:w="1868" w:type="pct"/>
            <w:shd w:val="clear" w:color="auto" w:fill="auto"/>
          </w:tcPr>
          <w:p w:rsidR="00DC7AD7" w:rsidRPr="00F62685" w:rsidRDefault="00DC7AD7" w:rsidP="00097BFC">
            <w:pPr>
              <w:spacing w:before="120" w:after="60" w:line="240" w:lineRule="auto"/>
              <w:jc w:val="center"/>
              <w:rPr>
                <w:rFonts w:ascii="Times New Roman" w:eastAsia="Times New Roman" w:hAnsi="Times New Roman" w:cs="Times New Roman"/>
                <w:b/>
                <w:sz w:val="20"/>
                <w:szCs w:val="20"/>
                <w:u w:val="single"/>
              </w:rPr>
            </w:pPr>
            <w:r w:rsidRPr="00F62685">
              <w:rPr>
                <w:rFonts w:ascii="Times New Roman" w:eastAsia="Times New Roman" w:hAnsi="Times New Roman" w:cs="Times New Roman"/>
                <w:b/>
                <w:sz w:val="20"/>
                <w:szCs w:val="20"/>
                <w:u w:val="single"/>
              </w:rPr>
              <w:t>СЪГЛАСУВА БЕЗ БЕЛЕЖКИ</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b/>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БЪЛГАРСКА НАЦИОНАЛНА ТЕЛЕВИЗИЯ</w:t>
            </w:r>
          </w:p>
        </w:tc>
        <w:tc>
          <w:tcPr>
            <w:tcW w:w="1868" w:type="pct"/>
            <w:shd w:val="clear" w:color="auto" w:fill="auto"/>
          </w:tcPr>
          <w:p w:rsidR="00DC7AD7" w:rsidRPr="00F62685" w:rsidRDefault="00DC7AD7" w:rsidP="00097BFC">
            <w:pPr>
              <w:spacing w:before="120" w:after="60" w:line="240" w:lineRule="auto"/>
              <w:jc w:val="center"/>
              <w:rPr>
                <w:rFonts w:ascii="Times New Roman" w:eastAsia="Times New Roman" w:hAnsi="Times New Roman" w:cs="Times New Roman"/>
                <w:b/>
                <w:sz w:val="20"/>
                <w:szCs w:val="20"/>
                <w:u w:val="single"/>
              </w:rPr>
            </w:pPr>
            <w:r w:rsidRPr="00F62685">
              <w:rPr>
                <w:rFonts w:ascii="Times New Roman" w:eastAsia="Times New Roman" w:hAnsi="Times New Roman" w:cs="Times New Roman"/>
                <w:b/>
                <w:sz w:val="20"/>
                <w:szCs w:val="20"/>
                <w:u w:val="single"/>
              </w:rPr>
              <w:t>СЪГЛАСУВА БЕЗ БЕЛЕЖКИ</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БЪЛГАРСКО НАЦИОНАЛНО РАДИО</w:t>
            </w:r>
          </w:p>
        </w:tc>
        <w:tc>
          <w:tcPr>
            <w:tcW w:w="1868" w:type="pct"/>
            <w:shd w:val="clear" w:color="auto" w:fill="auto"/>
          </w:tcPr>
          <w:p w:rsidR="00DC7AD7" w:rsidRDefault="00DC7AD7" w:rsidP="00097BFC">
            <w:pPr>
              <w:spacing w:after="6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БНР уведомява, че няма</w:t>
            </w:r>
            <w:r w:rsidRPr="00F62685">
              <w:rPr>
                <w:rFonts w:ascii="Times New Roman" w:eastAsia="Times New Roman" w:hAnsi="Times New Roman" w:cs="Times New Roman"/>
                <w:b/>
                <w:sz w:val="20"/>
                <w:szCs w:val="20"/>
              </w:rPr>
              <w:t xml:space="preserve"> бележки по проекта на Решение на Министерския съвет за одобряване на законопроект за държавния бюджет на Република България за 2024 г. и материалите към него на основание чл. 32 от У</w:t>
            </w:r>
            <w:r>
              <w:rPr>
                <w:rFonts w:ascii="Times New Roman" w:eastAsia="Times New Roman" w:hAnsi="Times New Roman" w:cs="Times New Roman"/>
                <w:b/>
                <w:sz w:val="20"/>
                <w:szCs w:val="20"/>
              </w:rPr>
              <w:t>ПМСНА.</w:t>
            </w:r>
          </w:p>
          <w:p w:rsidR="00DC7AD7" w:rsidRDefault="00DC7AD7"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БНР използва</w:t>
            </w:r>
            <w:r w:rsidRPr="00F62685">
              <w:rPr>
                <w:rFonts w:ascii="Times New Roman" w:eastAsia="Times New Roman" w:hAnsi="Times New Roman" w:cs="Times New Roman"/>
                <w:sz w:val="20"/>
                <w:szCs w:val="20"/>
              </w:rPr>
              <w:t xml:space="preserve"> случая да </w:t>
            </w:r>
            <w:r>
              <w:rPr>
                <w:rFonts w:ascii="Times New Roman" w:eastAsia="Times New Roman" w:hAnsi="Times New Roman" w:cs="Times New Roman"/>
                <w:sz w:val="20"/>
                <w:szCs w:val="20"/>
              </w:rPr>
              <w:t>обърне</w:t>
            </w:r>
            <w:r w:rsidRPr="00F62685">
              <w:rPr>
                <w:rFonts w:ascii="Times New Roman" w:eastAsia="Times New Roman" w:hAnsi="Times New Roman" w:cs="Times New Roman"/>
                <w:sz w:val="20"/>
                <w:szCs w:val="20"/>
              </w:rPr>
              <w:t xml:space="preserve"> внимание на обстоятелството, че БНР продължава да работи в режим на недостиг на бюджетен </w:t>
            </w:r>
            <w:r w:rsidRPr="00F62685">
              <w:rPr>
                <w:rFonts w:ascii="Times New Roman" w:eastAsia="Times New Roman" w:hAnsi="Times New Roman" w:cs="Times New Roman"/>
                <w:sz w:val="20"/>
                <w:szCs w:val="20"/>
              </w:rPr>
              <w:lastRenderedPageBreak/>
              <w:t>ресурс, който затруднява нормалното изпълнение на неговата обществена мисия.</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Сред приоритетите, които се очертават като неотложно необходими за изпълнение на задачите на БНР. са повишаване на производителността и качеството на произведените програми, подобряване на технологиите за производство, увеличаване на обема и качеството на произвежданите медийни услуги. В тази връзка основната дейност на БНР е силно зависима от производствената техника и технологии. Към момента технологичното развитие на радиото изостава в много области. Средствата от капиталова субсидия в размер на 3 900 000 лв. не са променяни повече от 10 години и са крайно недостатъчни за обезпечаване изпълнението на инвестиционната политика на БНР.</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През 2010 г. и 2011 г. субсидията за капиталови вложения на Българското национално радио възлиза н</w:t>
            </w:r>
            <w:r>
              <w:rPr>
                <w:rFonts w:ascii="Times New Roman" w:eastAsia="Times New Roman" w:hAnsi="Times New Roman" w:cs="Times New Roman"/>
                <w:sz w:val="20"/>
                <w:szCs w:val="20"/>
              </w:rPr>
              <w:t>а 5 918 700 лв.. а през 2012 същ</w:t>
            </w:r>
            <w:r w:rsidRPr="00F62685">
              <w:rPr>
                <w:rFonts w:ascii="Times New Roman" w:eastAsia="Times New Roman" w:hAnsi="Times New Roman" w:cs="Times New Roman"/>
                <w:sz w:val="20"/>
                <w:szCs w:val="20"/>
              </w:rPr>
              <w:t>ата е намалена на 3 900 000 лв. и остава такава до момента. Натрупаната средногодишна инфлация за този период (2012 2022 г.) с в размер над 30 %, а годишният размер на инфлацията в страната вече е пренесена върху всички стоки и услуги в т.ч. и капиталовите разходи на националния оператор. След проведени пазарни консултации по обществени поръчки през 2023 г. в Българското национално радио, инвестиционните намерения са свити с 35%.</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Българското национално радио в епохата на новите технологични модели все повече от всякога се нуждае от увеличение на целевия трансфер по чл. 70. </w:t>
            </w:r>
            <w:proofErr w:type="spellStart"/>
            <w:r w:rsidRPr="00F62685">
              <w:rPr>
                <w:rFonts w:ascii="Times New Roman" w:eastAsia="Times New Roman" w:hAnsi="Times New Roman" w:cs="Times New Roman"/>
                <w:sz w:val="20"/>
                <w:szCs w:val="20"/>
              </w:rPr>
              <w:t>aл</w:t>
            </w:r>
            <w:proofErr w:type="spellEnd"/>
            <w:r w:rsidRPr="00F62685">
              <w:rPr>
                <w:rFonts w:ascii="Times New Roman" w:eastAsia="Times New Roman" w:hAnsi="Times New Roman" w:cs="Times New Roman"/>
                <w:sz w:val="20"/>
                <w:szCs w:val="20"/>
              </w:rPr>
              <w:t>. 4, т. 2 от ЗРТ. Развитието на дигиталните технологии изисква адекватна реакция от страна на БНР. За да отговори в максимата степен на променящите се технологии и тенденции, обществената медия трябва да задели достатъчен ресурс за дигитална трансформация, който да позволи разработването и по сдържането на уеб-сайта на БНР. приложения за мобилни устройства, продукти за отложено слушане на програмите на радиото, ефирни и звукозаписни пултове за студия и мобилни такива.</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Средствата от капиталовата субсидия в размер на 3 900 000 лв. са крайно недостатъчни за осъществяване на инвестиционната политика на БНР. За да изпълнява своята обществена мисия. Българското национално радио се нуждае неотложно от допълнителни средства за капиталови вложения в размер на 2</w:t>
            </w:r>
            <w:r>
              <w:rPr>
                <w:rFonts w:ascii="Times New Roman" w:eastAsia="Times New Roman" w:hAnsi="Times New Roman" w:cs="Times New Roman"/>
                <w:sz w:val="20"/>
                <w:szCs w:val="20"/>
              </w:rPr>
              <w:t> </w:t>
            </w:r>
            <w:r w:rsidRPr="00F62685">
              <w:rPr>
                <w:rFonts w:ascii="Times New Roman" w:eastAsia="Times New Roman" w:hAnsi="Times New Roman" w:cs="Times New Roman"/>
                <w:sz w:val="20"/>
                <w:szCs w:val="20"/>
              </w:rPr>
              <w:t xml:space="preserve">000 000 лв. годишно, които да обезпечат поведение, адекватно на новите ценови и технологични реалности и да осигурят стабилно и модерно технологично и техническо обновяване на </w:t>
            </w:r>
            <w:r w:rsidRPr="00F62685">
              <w:rPr>
                <w:rFonts w:ascii="Times New Roman" w:eastAsia="Times New Roman" w:hAnsi="Times New Roman" w:cs="Times New Roman"/>
                <w:sz w:val="20"/>
                <w:szCs w:val="20"/>
              </w:rPr>
              <w:lastRenderedPageBreak/>
              <w:t>активите и превръщането му в една съвременна европейска медия.</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Не се приема</w:t>
            </w:r>
          </w:p>
        </w:tc>
        <w:tc>
          <w:tcPr>
            <w:tcW w:w="1617" w:type="pct"/>
            <w:shd w:val="clear" w:color="auto" w:fill="auto"/>
          </w:tcPr>
          <w:p w:rsidR="00DC7AD7" w:rsidRPr="00653273" w:rsidRDefault="00DC7AD7" w:rsidP="00DC7AD7">
            <w:pPr>
              <w:spacing w:after="0" w:line="240" w:lineRule="auto"/>
              <w:jc w:val="both"/>
              <w:rPr>
                <w:rFonts w:ascii="Times New Roman" w:eastAsia="Times New Roman" w:hAnsi="Times New Roman" w:cs="Times New Roman"/>
                <w:sz w:val="20"/>
                <w:szCs w:val="20"/>
              </w:rPr>
            </w:pPr>
          </w:p>
          <w:p w:rsidR="00DC7AD7" w:rsidRPr="00653273" w:rsidRDefault="00DC7AD7" w:rsidP="00DC7AD7">
            <w:pPr>
              <w:spacing w:after="0" w:line="240" w:lineRule="auto"/>
              <w:jc w:val="both"/>
              <w:rPr>
                <w:rFonts w:ascii="Times New Roman" w:eastAsia="Times New Roman" w:hAnsi="Times New Roman" w:cs="Times New Roman"/>
                <w:sz w:val="20"/>
                <w:szCs w:val="20"/>
              </w:rPr>
            </w:pPr>
          </w:p>
          <w:p w:rsidR="00DC7AD7" w:rsidRPr="00653273" w:rsidRDefault="00DC7AD7" w:rsidP="00DC7AD7">
            <w:pPr>
              <w:spacing w:after="0" w:line="240" w:lineRule="auto"/>
              <w:jc w:val="both"/>
              <w:rPr>
                <w:rFonts w:ascii="Times New Roman" w:eastAsia="Times New Roman" w:hAnsi="Times New Roman" w:cs="Times New Roman"/>
                <w:sz w:val="20"/>
                <w:szCs w:val="20"/>
              </w:rPr>
            </w:pPr>
          </w:p>
          <w:p w:rsidR="00DC7AD7" w:rsidRPr="00653273" w:rsidRDefault="00DC7AD7" w:rsidP="00DC7AD7">
            <w:pPr>
              <w:spacing w:after="0" w:line="240" w:lineRule="auto"/>
              <w:jc w:val="both"/>
              <w:rPr>
                <w:rFonts w:ascii="Times New Roman" w:eastAsia="Times New Roman" w:hAnsi="Times New Roman" w:cs="Times New Roman"/>
                <w:sz w:val="20"/>
                <w:szCs w:val="20"/>
              </w:rPr>
            </w:pPr>
          </w:p>
          <w:p w:rsidR="00DC7AD7" w:rsidRPr="00653273" w:rsidRDefault="00DC7AD7" w:rsidP="00DC7AD7">
            <w:pPr>
              <w:spacing w:after="0" w:line="240" w:lineRule="auto"/>
              <w:jc w:val="both"/>
              <w:rPr>
                <w:rFonts w:ascii="Times New Roman" w:eastAsia="Times New Roman" w:hAnsi="Times New Roman" w:cs="Times New Roman"/>
                <w:sz w:val="20"/>
                <w:szCs w:val="20"/>
              </w:rPr>
            </w:pPr>
          </w:p>
          <w:p w:rsidR="00DC7AD7" w:rsidRPr="00653273" w:rsidRDefault="00DC7AD7" w:rsidP="00DC7AD7">
            <w:pPr>
              <w:spacing w:after="0" w:line="240" w:lineRule="auto"/>
              <w:jc w:val="both"/>
              <w:rPr>
                <w:rFonts w:ascii="Times New Roman" w:eastAsia="Times New Roman" w:hAnsi="Times New Roman" w:cs="Times New Roman"/>
                <w:sz w:val="20"/>
                <w:szCs w:val="20"/>
              </w:rPr>
            </w:pPr>
            <w:r w:rsidRPr="00653273">
              <w:rPr>
                <w:rFonts w:ascii="Times New Roman" w:eastAsia="Times New Roman" w:hAnsi="Times New Roman" w:cs="Times New Roman"/>
                <w:sz w:val="20"/>
                <w:szCs w:val="20"/>
              </w:rPr>
              <w:t xml:space="preserve">По отношение на изразената от БНР позиция за недостиг на бюджетен ресурс за изпълнение на мисията </w:t>
            </w:r>
            <w:r w:rsidRPr="00653273">
              <w:rPr>
                <w:rFonts w:ascii="Times New Roman" w:eastAsia="Times New Roman" w:hAnsi="Times New Roman" w:cs="Times New Roman"/>
                <w:sz w:val="20"/>
                <w:szCs w:val="20"/>
              </w:rPr>
              <w:lastRenderedPageBreak/>
              <w:t xml:space="preserve">на обществената медия следва да се има предвид, че предложените размери на трансфери от централния бюджет за бюджета на БНР са съобразени с възможностите на държавния бюджет за 2024 г., базиран на есенната макроикономическа прогноза на Министерството на финансите, на действащото законодателство, прилагане на възприетите политики и допускания от правителството за периода 2024-2026 г., отчетни данни и оценка на възможностите за реализиране на инвестиционните разходи в рамките на бюджетната година, предприетите оптимизиращи приходни и разходни мерки със съответните ефекти и предложения за законодателни промени. </w:t>
            </w:r>
          </w:p>
          <w:p w:rsidR="00DC7AD7" w:rsidRPr="00653273" w:rsidRDefault="00DC7AD7" w:rsidP="00DC7AD7">
            <w:pPr>
              <w:spacing w:after="0" w:line="240" w:lineRule="auto"/>
              <w:jc w:val="both"/>
              <w:rPr>
                <w:rFonts w:ascii="Times New Roman" w:eastAsia="Times New Roman" w:hAnsi="Times New Roman" w:cs="Times New Roman"/>
                <w:sz w:val="20"/>
                <w:szCs w:val="20"/>
              </w:rPr>
            </w:pPr>
            <w:r w:rsidRPr="00653273">
              <w:rPr>
                <w:rFonts w:ascii="Times New Roman" w:eastAsia="Times New Roman" w:hAnsi="Times New Roman" w:cs="Times New Roman"/>
                <w:sz w:val="20"/>
                <w:szCs w:val="20"/>
              </w:rPr>
              <w:t>Искането за увеличаване на целевия трансфер (за придобиване и основен ремонт на дълготрайни активи) по чл. 70, ал. 4, т. 2 от Закона за радиото и телевизията със сума в размер на 2 млн. лв. не е достатъчно обосновано и не съответства с правилата и ограниченията на Закона за публичните финанси.</w:t>
            </w:r>
          </w:p>
          <w:p w:rsidR="00DC7AD7" w:rsidRPr="00252362" w:rsidRDefault="00DC7AD7" w:rsidP="00DC7AD7">
            <w:pPr>
              <w:spacing w:after="0" w:line="240" w:lineRule="auto"/>
              <w:jc w:val="both"/>
              <w:rPr>
                <w:rFonts w:ascii="Times New Roman" w:eastAsia="Times New Roman" w:hAnsi="Times New Roman" w:cs="Times New Roman"/>
                <w:sz w:val="20"/>
                <w:szCs w:val="20"/>
                <w:lang w:val="ru-RU"/>
              </w:rPr>
            </w:pPr>
            <w:r w:rsidRPr="00653273">
              <w:rPr>
                <w:rFonts w:ascii="Times New Roman" w:eastAsia="Times New Roman" w:hAnsi="Times New Roman" w:cs="Times New Roman"/>
                <w:sz w:val="20"/>
                <w:szCs w:val="20"/>
              </w:rPr>
              <w:t xml:space="preserve"> Във връзка с горното и предвид ограниченото фискално пространство, на този етап предложения за увеличения в разходната част не биха могли да бъдат удовлетворени.</w:t>
            </w: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БЪЛГАРСКА ТЕЛЕГРАФНА АГЕНЦИЯ</w:t>
            </w:r>
          </w:p>
        </w:tc>
        <w:tc>
          <w:tcPr>
            <w:tcW w:w="1868" w:type="pct"/>
            <w:shd w:val="clear" w:color="auto" w:fill="auto"/>
          </w:tcPr>
          <w:p w:rsidR="00DC7AD7" w:rsidRDefault="00DC7AD7" w:rsidP="00097BFC">
            <w:pPr>
              <w:spacing w:after="60" w:line="240" w:lineRule="auto"/>
              <w:jc w:val="both"/>
              <w:rPr>
                <w:rFonts w:ascii="Times New Roman" w:eastAsia="Times New Roman" w:hAnsi="Times New Roman" w:cs="Times New Roman"/>
                <w:sz w:val="20"/>
                <w:szCs w:val="20"/>
              </w:rPr>
            </w:pPr>
            <w:r w:rsidRPr="007937CB">
              <w:rPr>
                <w:rFonts w:ascii="Times New Roman" w:eastAsia="Times New Roman" w:hAnsi="Times New Roman" w:cs="Times New Roman"/>
                <w:b/>
                <w:sz w:val="20"/>
                <w:szCs w:val="20"/>
              </w:rPr>
              <w:t>БТА предостави план-сметка за разходите, разработена съгласно Програмата за развитие на БТА 2021 г. - 2025 г. „Бъдещето на БТА“, в която са предвидени пет стратегически цели, чието финансово осигуряване е предмет на бюджетната прогноза за периода 2024 г. - 2026 г., но не е отразено в основните параметри, заложени в Приложение №</w:t>
            </w:r>
            <w:r>
              <w:rPr>
                <w:rFonts w:ascii="Times New Roman" w:eastAsia="Times New Roman" w:hAnsi="Times New Roman" w:cs="Times New Roman"/>
                <w:b/>
                <w:sz w:val="20"/>
                <w:szCs w:val="20"/>
              </w:rPr>
              <w:t> </w:t>
            </w:r>
            <w:r w:rsidRPr="007937CB">
              <w:rPr>
                <w:rFonts w:ascii="Times New Roman" w:eastAsia="Times New Roman" w:hAnsi="Times New Roman" w:cs="Times New Roman"/>
                <w:b/>
                <w:sz w:val="20"/>
                <w:szCs w:val="20"/>
              </w:rPr>
              <w:t>1 от Вашето писмо.</w:t>
            </w:r>
            <w:r w:rsidRPr="007937CB">
              <w:rPr>
                <w:rFonts w:ascii="Times New Roman" w:eastAsia="Times New Roman" w:hAnsi="Times New Roman" w:cs="Times New Roman"/>
                <w:sz w:val="20"/>
                <w:szCs w:val="20"/>
              </w:rPr>
              <w:t xml:space="preserve"> </w:t>
            </w:r>
          </w:p>
          <w:p w:rsidR="00DC7AD7" w:rsidRDefault="00DC7AD7" w:rsidP="00097BFC">
            <w:pPr>
              <w:spacing w:after="60" w:line="240" w:lineRule="auto"/>
              <w:jc w:val="both"/>
              <w:rPr>
                <w:rFonts w:ascii="Times New Roman" w:eastAsia="Times New Roman" w:hAnsi="Times New Roman" w:cs="Times New Roman"/>
                <w:sz w:val="20"/>
                <w:szCs w:val="20"/>
              </w:rPr>
            </w:pPr>
          </w:p>
          <w:p w:rsidR="00DC7AD7" w:rsidRPr="007937CB" w:rsidRDefault="00DC7AD7" w:rsidP="00097BFC">
            <w:pPr>
              <w:spacing w:after="60" w:line="240" w:lineRule="auto"/>
              <w:jc w:val="both"/>
              <w:rPr>
                <w:rFonts w:ascii="Times New Roman" w:eastAsia="Times New Roman" w:hAnsi="Times New Roman" w:cs="Times New Roman"/>
                <w:sz w:val="20"/>
                <w:szCs w:val="20"/>
              </w:rPr>
            </w:pPr>
            <w:r w:rsidRPr="007937CB">
              <w:rPr>
                <w:rFonts w:ascii="Times New Roman" w:eastAsia="Times New Roman" w:hAnsi="Times New Roman" w:cs="Times New Roman"/>
                <w:sz w:val="20"/>
                <w:szCs w:val="20"/>
              </w:rPr>
              <w:t>От изложените в Обяснителната записка към първоначално представената от БТА</w:t>
            </w:r>
            <w:r>
              <w:rPr>
                <w:rFonts w:ascii="Times New Roman" w:eastAsia="Times New Roman" w:hAnsi="Times New Roman" w:cs="Times New Roman"/>
                <w:sz w:val="20"/>
                <w:szCs w:val="20"/>
              </w:rPr>
              <w:t xml:space="preserve"> </w:t>
            </w:r>
            <w:r w:rsidRPr="007937CB">
              <w:rPr>
                <w:rFonts w:ascii="Times New Roman" w:eastAsia="Times New Roman" w:hAnsi="Times New Roman" w:cs="Times New Roman"/>
                <w:sz w:val="20"/>
                <w:szCs w:val="20"/>
              </w:rPr>
              <w:t>план-сметка за 2024 г. смятаме, че от особена стратегическа важност е укрепването на</w:t>
            </w:r>
            <w:r>
              <w:rPr>
                <w:rFonts w:ascii="Times New Roman" w:eastAsia="Times New Roman" w:hAnsi="Times New Roman" w:cs="Times New Roman"/>
                <w:sz w:val="20"/>
                <w:szCs w:val="20"/>
              </w:rPr>
              <w:t xml:space="preserve"> </w:t>
            </w:r>
            <w:r w:rsidRPr="007937CB">
              <w:rPr>
                <w:rFonts w:ascii="Times New Roman" w:eastAsia="Times New Roman" w:hAnsi="Times New Roman" w:cs="Times New Roman"/>
                <w:sz w:val="20"/>
                <w:szCs w:val="20"/>
              </w:rPr>
              <w:t>кореспондентската мрежа в съществуващите кореспондентски бюра на агенцията в България с втори</w:t>
            </w:r>
            <w:r>
              <w:rPr>
                <w:rFonts w:ascii="Times New Roman" w:eastAsia="Times New Roman" w:hAnsi="Times New Roman" w:cs="Times New Roman"/>
                <w:sz w:val="20"/>
                <w:szCs w:val="20"/>
              </w:rPr>
              <w:t xml:space="preserve"> </w:t>
            </w:r>
            <w:r w:rsidRPr="007937CB">
              <w:rPr>
                <w:rFonts w:ascii="Times New Roman" w:eastAsia="Times New Roman" w:hAnsi="Times New Roman" w:cs="Times New Roman"/>
                <w:sz w:val="20"/>
                <w:szCs w:val="20"/>
              </w:rPr>
              <w:t>човек, така че всяко кореспондентско бюро да има по двама човека (и по-големи екипи в Пловдив,</w:t>
            </w:r>
            <w:r>
              <w:rPr>
                <w:rFonts w:ascii="Times New Roman" w:eastAsia="Times New Roman" w:hAnsi="Times New Roman" w:cs="Times New Roman"/>
                <w:sz w:val="20"/>
                <w:szCs w:val="20"/>
              </w:rPr>
              <w:t xml:space="preserve"> </w:t>
            </w:r>
            <w:r w:rsidRPr="007937CB">
              <w:rPr>
                <w:rFonts w:ascii="Times New Roman" w:eastAsia="Times New Roman" w:hAnsi="Times New Roman" w:cs="Times New Roman"/>
                <w:sz w:val="20"/>
                <w:szCs w:val="20"/>
              </w:rPr>
              <w:t>Варна и Бургас), които по график да покриват всеки календарен ден от годината без оглед на почивни</w:t>
            </w:r>
            <w:r>
              <w:rPr>
                <w:rFonts w:ascii="Times New Roman" w:eastAsia="Times New Roman" w:hAnsi="Times New Roman" w:cs="Times New Roman"/>
                <w:sz w:val="20"/>
                <w:szCs w:val="20"/>
              </w:rPr>
              <w:t xml:space="preserve"> </w:t>
            </w:r>
            <w:r w:rsidRPr="007937CB">
              <w:rPr>
                <w:rFonts w:ascii="Times New Roman" w:eastAsia="Times New Roman" w:hAnsi="Times New Roman" w:cs="Times New Roman"/>
                <w:sz w:val="20"/>
                <w:szCs w:val="20"/>
              </w:rPr>
              <w:t>и празнични дни и отпуски и заболявания, защото спецификата на дейността на БТА изисква</w:t>
            </w:r>
            <w:r>
              <w:rPr>
                <w:rFonts w:ascii="Times New Roman" w:eastAsia="Times New Roman" w:hAnsi="Times New Roman" w:cs="Times New Roman"/>
                <w:sz w:val="20"/>
                <w:szCs w:val="20"/>
              </w:rPr>
              <w:t xml:space="preserve"> </w:t>
            </w:r>
            <w:r w:rsidRPr="007937CB">
              <w:rPr>
                <w:rFonts w:ascii="Times New Roman" w:eastAsia="Times New Roman" w:hAnsi="Times New Roman" w:cs="Times New Roman"/>
                <w:sz w:val="20"/>
                <w:szCs w:val="20"/>
              </w:rPr>
              <w:t>всекидневно покриване на събитията от кореспондентските бюра. За финансовото осигуряване на</w:t>
            </w:r>
            <w:r>
              <w:rPr>
                <w:rFonts w:ascii="Times New Roman" w:eastAsia="Times New Roman" w:hAnsi="Times New Roman" w:cs="Times New Roman"/>
                <w:sz w:val="20"/>
                <w:szCs w:val="20"/>
              </w:rPr>
              <w:t xml:space="preserve"> </w:t>
            </w:r>
            <w:r w:rsidRPr="007937CB">
              <w:rPr>
                <w:rFonts w:ascii="Times New Roman" w:eastAsia="Times New Roman" w:hAnsi="Times New Roman" w:cs="Times New Roman"/>
                <w:sz w:val="20"/>
                <w:szCs w:val="20"/>
              </w:rPr>
              <w:t>нови 30 кореспонденти в съществуващите кореспондентски бюра прогнозната сума е 1 686 000 лева,</w:t>
            </w:r>
            <w:r>
              <w:rPr>
                <w:rFonts w:ascii="Times New Roman" w:eastAsia="Times New Roman" w:hAnsi="Times New Roman" w:cs="Times New Roman"/>
                <w:sz w:val="20"/>
                <w:szCs w:val="20"/>
              </w:rPr>
              <w:t xml:space="preserve"> </w:t>
            </w:r>
            <w:r w:rsidRPr="007937CB">
              <w:rPr>
                <w:rFonts w:ascii="Times New Roman" w:eastAsia="Times New Roman" w:hAnsi="Times New Roman" w:cs="Times New Roman"/>
                <w:sz w:val="20"/>
                <w:szCs w:val="20"/>
              </w:rPr>
              <w:t>които включват:</w:t>
            </w:r>
          </w:p>
          <w:p w:rsidR="00DC7AD7" w:rsidRPr="007937CB" w:rsidRDefault="00DC7AD7" w:rsidP="00097BFC">
            <w:pPr>
              <w:spacing w:after="60" w:line="240" w:lineRule="auto"/>
              <w:jc w:val="both"/>
              <w:rPr>
                <w:rFonts w:ascii="Times New Roman" w:eastAsia="Times New Roman" w:hAnsi="Times New Roman" w:cs="Times New Roman"/>
                <w:sz w:val="20"/>
                <w:szCs w:val="20"/>
              </w:rPr>
            </w:pPr>
            <w:r w:rsidRPr="007937CB">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r w:rsidRPr="007937CB">
              <w:rPr>
                <w:rFonts w:ascii="Times New Roman" w:eastAsia="Times New Roman" w:hAnsi="Times New Roman" w:cs="Times New Roman"/>
                <w:sz w:val="20"/>
                <w:szCs w:val="20"/>
              </w:rPr>
              <w:t>936</w:t>
            </w:r>
            <w:r>
              <w:rPr>
                <w:rFonts w:ascii="Times New Roman" w:eastAsia="Times New Roman" w:hAnsi="Times New Roman" w:cs="Times New Roman"/>
                <w:sz w:val="20"/>
                <w:szCs w:val="20"/>
              </w:rPr>
              <w:t xml:space="preserve"> </w:t>
            </w:r>
            <w:r w:rsidRPr="007937CB">
              <w:rPr>
                <w:rFonts w:ascii="Times New Roman" w:eastAsia="Times New Roman" w:hAnsi="Times New Roman" w:cs="Times New Roman"/>
                <w:sz w:val="20"/>
                <w:szCs w:val="20"/>
              </w:rPr>
              <w:t>000 лева възнаграждения с осигуровки за работодателя (при основна заплата 1 800 лева</w:t>
            </w:r>
            <w:r>
              <w:rPr>
                <w:rFonts w:ascii="Times New Roman" w:eastAsia="Times New Roman" w:hAnsi="Times New Roman" w:cs="Times New Roman"/>
                <w:sz w:val="20"/>
                <w:szCs w:val="20"/>
              </w:rPr>
              <w:t xml:space="preserve"> </w:t>
            </w:r>
            <w:r w:rsidRPr="007937CB">
              <w:rPr>
                <w:rFonts w:ascii="Times New Roman" w:eastAsia="Times New Roman" w:hAnsi="Times New Roman" w:cs="Times New Roman"/>
                <w:sz w:val="20"/>
                <w:szCs w:val="20"/>
              </w:rPr>
              <w:t>месечно на човек - при условие, че бъде наеман местен човек за втори спомагателен</w:t>
            </w:r>
            <w:r>
              <w:rPr>
                <w:rFonts w:ascii="Times New Roman" w:eastAsia="Times New Roman" w:hAnsi="Times New Roman" w:cs="Times New Roman"/>
                <w:sz w:val="20"/>
                <w:szCs w:val="20"/>
              </w:rPr>
              <w:t xml:space="preserve"> </w:t>
            </w:r>
            <w:r w:rsidRPr="007937CB">
              <w:rPr>
                <w:rFonts w:ascii="Times New Roman" w:eastAsia="Times New Roman" w:hAnsi="Times New Roman" w:cs="Times New Roman"/>
                <w:sz w:val="20"/>
                <w:szCs w:val="20"/>
              </w:rPr>
              <w:t>кореспондент в кореспондентските бюра в чужбина) през 2024 г. и</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7937CB">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r w:rsidRPr="007937CB">
              <w:rPr>
                <w:rFonts w:ascii="Times New Roman" w:eastAsia="Times New Roman" w:hAnsi="Times New Roman" w:cs="Times New Roman"/>
                <w:sz w:val="20"/>
                <w:szCs w:val="20"/>
              </w:rPr>
              <w:t>750</w:t>
            </w:r>
            <w:r>
              <w:rPr>
                <w:rFonts w:ascii="Times New Roman" w:eastAsia="Times New Roman" w:hAnsi="Times New Roman" w:cs="Times New Roman"/>
                <w:sz w:val="20"/>
                <w:szCs w:val="20"/>
              </w:rPr>
              <w:t xml:space="preserve"> </w:t>
            </w:r>
            <w:r w:rsidRPr="007937CB">
              <w:rPr>
                <w:rFonts w:ascii="Times New Roman" w:eastAsia="Times New Roman" w:hAnsi="Times New Roman" w:cs="Times New Roman"/>
                <w:sz w:val="20"/>
                <w:szCs w:val="20"/>
              </w:rPr>
              <w:t>000 лева техническо обезпечаване с фотографска техника (по около 20 000 лева на човек),</w:t>
            </w:r>
            <w:r>
              <w:rPr>
                <w:rFonts w:ascii="Times New Roman" w:eastAsia="Times New Roman" w:hAnsi="Times New Roman" w:cs="Times New Roman"/>
                <w:sz w:val="20"/>
                <w:szCs w:val="20"/>
              </w:rPr>
              <w:t xml:space="preserve"> </w:t>
            </w:r>
            <w:r w:rsidRPr="007937CB">
              <w:rPr>
                <w:rFonts w:ascii="Times New Roman" w:eastAsia="Times New Roman" w:hAnsi="Times New Roman" w:cs="Times New Roman"/>
                <w:sz w:val="20"/>
                <w:szCs w:val="20"/>
              </w:rPr>
              <w:t>лаптопи и мобилни апарати (по около 5 000 лева на човек).</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Не се приема</w:t>
            </w:r>
          </w:p>
        </w:tc>
        <w:tc>
          <w:tcPr>
            <w:tcW w:w="1617" w:type="pct"/>
            <w:shd w:val="clear" w:color="auto" w:fill="auto"/>
          </w:tcPr>
          <w:p w:rsidR="00DC7AD7" w:rsidRPr="0082189C" w:rsidRDefault="00DC7AD7" w:rsidP="00DC7AD7">
            <w:pPr>
              <w:spacing w:after="0" w:line="240" w:lineRule="auto"/>
              <w:jc w:val="both"/>
              <w:rPr>
                <w:rFonts w:ascii="Times New Roman" w:hAnsi="Times New Roman" w:cs="Times New Roman"/>
                <w:color w:val="000000"/>
                <w:sz w:val="20"/>
                <w:szCs w:val="20"/>
              </w:rPr>
            </w:pPr>
            <w:r w:rsidRPr="0082189C">
              <w:rPr>
                <w:rFonts w:ascii="Times New Roman" w:hAnsi="Times New Roman" w:cs="Times New Roman"/>
                <w:color w:val="000000"/>
                <w:sz w:val="20"/>
                <w:szCs w:val="20"/>
              </w:rPr>
              <w:t>1. Допълнителни разходи за персонал</w:t>
            </w:r>
          </w:p>
          <w:p w:rsidR="00DC7AD7" w:rsidRPr="0082189C" w:rsidRDefault="00DC7AD7" w:rsidP="00DC7AD7">
            <w:pPr>
              <w:spacing w:after="0" w:line="240" w:lineRule="auto"/>
              <w:jc w:val="both"/>
              <w:rPr>
                <w:rFonts w:ascii="Times New Roman" w:hAnsi="Times New Roman" w:cs="Times New Roman"/>
                <w:color w:val="000000"/>
                <w:sz w:val="20"/>
                <w:szCs w:val="20"/>
              </w:rPr>
            </w:pPr>
            <w:r w:rsidRPr="0082189C">
              <w:rPr>
                <w:rFonts w:ascii="Times New Roman" w:hAnsi="Times New Roman" w:cs="Times New Roman"/>
                <w:color w:val="000000"/>
                <w:sz w:val="20"/>
                <w:szCs w:val="20"/>
              </w:rPr>
              <w:t>С проектът на ЗДБРБ за 2024 г. в</w:t>
            </w:r>
            <w:r w:rsidRPr="0082189C">
              <w:rPr>
                <w:sz w:val="20"/>
                <w:szCs w:val="20"/>
              </w:rPr>
              <w:t xml:space="preserve"> </w:t>
            </w:r>
            <w:r w:rsidRPr="0082189C">
              <w:rPr>
                <w:rFonts w:ascii="Times New Roman" w:hAnsi="Times New Roman" w:cs="Times New Roman"/>
                <w:color w:val="000000"/>
                <w:sz w:val="20"/>
                <w:szCs w:val="20"/>
              </w:rPr>
              <w:t xml:space="preserve">чл. 1, ал. 5 са предвидени средства за преодоляване на диспропорции във възнагражденията на персонала в бюджетните организации с оглед изглаждане на наблюдавани значителни дисбаланси/неравенства в нивото на заплащане в различни административни звена и структури в секторите, предоставящи публични услуги. </w:t>
            </w:r>
          </w:p>
          <w:p w:rsidR="00DC7AD7" w:rsidRDefault="00DC7AD7" w:rsidP="00DC7AD7">
            <w:pPr>
              <w:spacing w:after="0" w:line="240" w:lineRule="auto"/>
              <w:jc w:val="both"/>
              <w:rPr>
                <w:rFonts w:ascii="Times New Roman" w:hAnsi="Times New Roman" w:cs="Times New Roman"/>
                <w:color w:val="000000"/>
                <w:sz w:val="20"/>
                <w:szCs w:val="20"/>
              </w:rPr>
            </w:pPr>
          </w:p>
          <w:p w:rsidR="00DC7AD7" w:rsidRPr="0082189C" w:rsidRDefault="00DC7AD7" w:rsidP="00DC7AD7">
            <w:pPr>
              <w:spacing w:after="0" w:line="240" w:lineRule="auto"/>
              <w:jc w:val="both"/>
              <w:rPr>
                <w:rFonts w:ascii="Times New Roman" w:hAnsi="Times New Roman" w:cs="Times New Roman"/>
                <w:color w:val="000000"/>
                <w:sz w:val="20"/>
                <w:szCs w:val="20"/>
              </w:rPr>
            </w:pPr>
            <w:r w:rsidRPr="0082189C">
              <w:rPr>
                <w:rFonts w:ascii="Times New Roman" w:hAnsi="Times New Roman" w:cs="Times New Roman"/>
                <w:color w:val="000000"/>
                <w:sz w:val="20"/>
                <w:szCs w:val="20"/>
              </w:rPr>
              <w:t>2. Допълнителни разходи за техническо обезпечаване</w:t>
            </w:r>
          </w:p>
          <w:p w:rsidR="00DC7AD7" w:rsidRPr="0082189C" w:rsidRDefault="00DC7AD7" w:rsidP="00DC7AD7">
            <w:pPr>
              <w:spacing w:after="0" w:line="240" w:lineRule="auto"/>
              <w:jc w:val="both"/>
              <w:rPr>
                <w:rFonts w:ascii="Times New Roman" w:hAnsi="Times New Roman" w:cs="Times New Roman"/>
                <w:color w:val="000000"/>
                <w:sz w:val="20"/>
                <w:szCs w:val="20"/>
              </w:rPr>
            </w:pPr>
            <w:r w:rsidRPr="0082189C">
              <w:rPr>
                <w:rFonts w:ascii="Times New Roman" w:hAnsi="Times New Roman" w:cs="Times New Roman"/>
                <w:color w:val="000000"/>
                <w:sz w:val="20"/>
                <w:szCs w:val="20"/>
              </w:rPr>
              <w:t>Предложеният размер на разходите по бюджета на БТА е съобразен с възможностите на държавния бюджет за 2024 г., базиран на есенната макроикономическа прогноза на Министерството на финансите, на действащото законодателство, прилагане на възприетите политики и допускания от правителството за периода 2024-2026 г., отчетни данни и оценка на възможностите за реализиране на инвестиционните разходи в рамките на бюджетната година, предприетите оптимизиращи приходни и разходни мерки със съответните ефекти и предложения за законодателни промени.</w:t>
            </w:r>
          </w:p>
          <w:p w:rsidR="00DC7AD7" w:rsidRPr="0082189C" w:rsidRDefault="00DC7AD7" w:rsidP="00DC7AD7">
            <w:pPr>
              <w:spacing w:after="0" w:line="240" w:lineRule="auto"/>
              <w:jc w:val="both"/>
              <w:rPr>
                <w:rFonts w:ascii="Times New Roman" w:hAnsi="Times New Roman" w:cs="Times New Roman"/>
                <w:color w:val="000000"/>
                <w:sz w:val="20"/>
                <w:szCs w:val="20"/>
              </w:rPr>
            </w:pPr>
            <w:r w:rsidRPr="0082189C">
              <w:rPr>
                <w:rFonts w:ascii="Times New Roman" w:hAnsi="Times New Roman" w:cs="Times New Roman"/>
                <w:color w:val="000000"/>
                <w:sz w:val="20"/>
                <w:szCs w:val="20"/>
              </w:rPr>
              <w:t>В тази връзка и предвид ограниченото фискално пространство, на този етап предложения за увеличения в разходната част не биха могли да бъдат удовлетворени.</w:t>
            </w:r>
          </w:p>
          <w:p w:rsidR="00DC7AD7" w:rsidRPr="00856C51"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b/>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БЪЛГАРСКА АКАДЕМИЯ НА НАУКИТЕ</w:t>
            </w:r>
          </w:p>
        </w:tc>
        <w:tc>
          <w:tcPr>
            <w:tcW w:w="1868" w:type="pct"/>
            <w:shd w:val="clear" w:color="auto" w:fill="auto"/>
          </w:tcPr>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БАН изразява следното становище по представения проект на Решение на Министерския съвет за одобряване на законопроект за държавния бюджет на Република България за 2024 г. и материалите към него:</w:t>
            </w:r>
          </w:p>
          <w:p w:rsidR="00DC7AD7" w:rsidRPr="00F62685" w:rsidRDefault="00DC7AD7"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Определеният трансфер на БАН за 2024 г. да бъде увеличен с 25 012 750 лв., разпределени както следва:</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xml:space="preserve">- 20 918 300 лв. за увеличение на минималната месечна работна заплата, от които 10 039 600 лв. за увеличение на минималната </w:t>
            </w:r>
            <w:r w:rsidRPr="00F62685">
              <w:rPr>
                <w:rFonts w:ascii="Times New Roman" w:eastAsia="Times New Roman" w:hAnsi="Times New Roman" w:cs="Times New Roman"/>
                <w:sz w:val="20"/>
                <w:szCs w:val="20"/>
              </w:rPr>
              <w:lastRenderedPageBreak/>
              <w:t>месечна работна заплата на академичния състав и 10 878 700 лв. за увеличение на минималната месечна работна заплата на специалистите с висше образование;</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- 4 000 000 лв. за компенсиране увеличението на цените на топлоенергията, електроенергията и водата;</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- 94 450 лв. за финансиране на дейностите по отбранително-мобилизационна подготовка за 2024 г.</w:t>
            </w:r>
          </w:p>
          <w:p w:rsidR="00DC7AD7" w:rsidRPr="00F62685" w:rsidRDefault="00DC7AD7" w:rsidP="00097BFC">
            <w:pPr>
              <w:spacing w:after="60" w:line="240" w:lineRule="auto"/>
              <w:jc w:val="both"/>
              <w:rPr>
                <w:rFonts w:ascii="Times New Roman" w:eastAsia="Times New Roman" w:hAnsi="Times New Roman" w:cs="Times New Roman"/>
                <w:sz w:val="20"/>
                <w:szCs w:val="20"/>
              </w:rPr>
            </w:pPr>
          </w:p>
          <w:p w:rsidR="00DC7AD7" w:rsidRPr="00F62685" w:rsidRDefault="00DC7AD7" w:rsidP="00097BFC">
            <w:pPr>
              <w:spacing w:after="60" w:line="240" w:lineRule="auto"/>
              <w:jc w:val="both"/>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 xml:space="preserve">Мотиви: </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Съгласно § 1 от ПМС № 158/21.09.2023 г. за одобряване на допълнителни трансфери за държавните висши училища чрез бюджета на МОН за 2023 г., считано от 01.08.2023 г. се определя размер на минималната месечна работна заплата за най-ниската академична длъжност в държавните висши училища 1 810 лв.</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Следва да се има предвид, че изискванията на Закона за развитие на академичния състав са едни и същи, както за БАН, така и за висшите учебни заведения и научни организации. Затова счита, че след като има единни национални критерии за заемане на академични длъжности, е необходимо да се осигури и единна ставка за съответните възнаграждения. В тази връзка и с оглед уеднаквяване с подхода, който е приложен в областта на висшето образование за увеличение на минималната месечна работна заплата за най-ниската академична длъжност в държавните висши училища, при определянето на необходимите средства за трудови възнаграждения на академичния състав на БАН за 2024 г. е взето под внимание увеличение на основните заплати, както следва: професор - 2 490 лв., доцент - 2 150 лв., главен асистент - 1 920 лв. и за асистент - 1 810 лв.</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За ръководния състав е предвидено увеличение на основната заплата средно в размер на 2 750 лв.</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При така определените размери на основните заплати, необходимите допълнителни средства за увеличението на минималната месечна работна заплата на академичния и ръководен състав възлизат на 10 039 600 лв., вкл. и осигурителните вноски.</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Ако и през 2024 г. се запази разликата между минималната месечна работна заплата на академичния състав в БАН и на академичния състав в областта на висшето образование, то това ще се отрази пагубно на кадровата политика на академията. Ще доведе до изтичане на кадри от БАН.</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lastRenderedPageBreak/>
              <w:t>Поради ниските заплати на специалистите с висше образование в БАН, което е свързано с текучество и трудности при набирането на персонал е предвидено увеличение на основната заплата, както следва: на специалист с висше образование в размер на 1 400 лв. и на главен експерт средно в размер на 1 700 лв. Следва да се отбележи, че проблемът с текучеството и трудностите при набирането на персонал е особено изразен при служителите от финансово-счетоводните отдели, както и при специалистите, поддържащи скъпо струваща обемна научна инфраструктура.</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Допълнително необходимите средства за увеличение на основните заплати на специалист с висше образование и на главен експерт възлизат на 10 878 700 лв., вкл. и осигурителните вноски.</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Следва да се има предвид, че с увеличението на минималната работна заплата за 2024 г. на 933 лв., разликата в основната заплата между помощния персонал и специалистите с висше образование ще бъде минимална, ако не бъдат предоставени исканите средства.</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F62685">
              <w:rPr>
                <w:rFonts w:ascii="Times New Roman" w:eastAsia="Times New Roman" w:hAnsi="Times New Roman" w:cs="Times New Roman"/>
                <w:sz w:val="20"/>
                <w:szCs w:val="20"/>
              </w:rPr>
              <w:t>Изложеният подход, за увеличение на минималната месечна работна заплата на академичния състав и на специалистите с висше образование, е обсъден и подкрепен от Съвета на настоятелите на БАН, на заседание, проведено на 10.10.2023 г.</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660114" w:rsidRDefault="00660114" w:rsidP="00660114">
            <w:pPr>
              <w:spacing w:after="0" w:line="240" w:lineRule="auto"/>
              <w:jc w:val="center"/>
              <w:rPr>
                <w:rFonts w:ascii="Times New Roman" w:eastAsia="Times New Roman" w:hAnsi="Times New Roman" w:cs="Times New Roman"/>
                <w:b/>
                <w:sz w:val="20"/>
                <w:szCs w:val="20"/>
              </w:rPr>
            </w:pPr>
            <w:r w:rsidRPr="00E34C2F">
              <w:rPr>
                <w:rFonts w:ascii="Times New Roman" w:eastAsia="Times New Roman" w:hAnsi="Times New Roman" w:cs="Times New Roman"/>
                <w:b/>
                <w:sz w:val="20"/>
                <w:szCs w:val="20"/>
              </w:rPr>
              <w:t>Приема се частично</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rPr>
                <w:rFonts w:ascii="Times New Roman" w:eastAsia="Times New Roman" w:hAnsi="Times New Roman" w:cs="Times New Roman"/>
                <w:sz w:val="20"/>
                <w:szCs w:val="20"/>
              </w:rPr>
            </w:pPr>
          </w:p>
          <w:p w:rsidR="00DC7AD7" w:rsidRDefault="00DC7AD7" w:rsidP="00DC7AD7">
            <w:pPr>
              <w:rPr>
                <w:rFonts w:ascii="Times New Roman" w:eastAsia="Times New Roman" w:hAnsi="Times New Roman" w:cs="Times New Roman"/>
                <w:sz w:val="20"/>
                <w:szCs w:val="20"/>
              </w:rPr>
            </w:pPr>
          </w:p>
          <w:p w:rsidR="00DC7AD7" w:rsidRDefault="00DC7AD7" w:rsidP="00DC7AD7">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Определеният трансфер на Българска академия на науките е съобразен с възможностите на държавния бюджет за 2024 г., базиран на есенната макроикономическа прогноза на Министерството на финансите, на действащото законодателство, прилагане </w:t>
            </w:r>
            <w:r>
              <w:rPr>
                <w:rFonts w:ascii="Times New Roman" w:eastAsia="Times New Roman" w:hAnsi="Times New Roman" w:cs="Times New Roman"/>
                <w:sz w:val="20"/>
                <w:szCs w:val="20"/>
              </w:rPr>
              <w:lastRenderedPageBreak/>
              <w:t>на възприетите политики и допускания от правителството за периода 2024-2026 г., отчетни данни и оценка на възможностите за реализиране на инвестиционните разходи в рамките на бюджетната година, предприетите оптимизиращи приходни и разходни мерки със съответните ефекти и предложения за законодателни промени.</w:t>
            </w:r>
          </w:p>
          <w:p w:rsidR="00B012B0" w:rsidRDefault="00B012B0" w:rsidP="00DC7AD7">
            <w:pPr>
              <w:jc w:val="both"/>
              <w:rPr>
                <w:rFonts w:ascii="Times New Roman" w:eastAsia="Times New Roman" w:hAnsi="Times New Roman" w:cs="Times New Roman"/>
                <w:sz w:val="20"/>
                <w:szCs w:val="20"/>
              </w:rPr>
            </w:pPr>
          </w:p>
          <w:p w:rsidR="00B012B0" w:rsidRDefault="00B012B0" w:rsidP="00DC7AD7">
            <w:pPr>
              <w:jc w:val="both"/>
              <w:rPr>
                <w:rFonts w:ascii="Times New Roman" w:hAnsi="Times New Roman" w:cs="Times New Roman"/>
                <w:color w:val="000000"/>
              </w:rPr>
            </w:pPr>
            <w:r>
              <w:rPr>
                <w:rFonts w:ascii="Times New Roman" w:eastAsia="Times New Roman" w:hAnsi="Times New Roman" w:cs="Times New Roman"/>
                <w:sz w:val="20"/>
                <w:szCs w:val="20"/>
              </w:rPr>
              <w:t xml:space="preserve">По отношение на предложеното увеличение на </w:t>
            </w:r>
            <w:r w:rsidRPr="00F62685">
              <w:rPr>
                <w:rFonts w:ascii="Times New Roman" w:eastAsia="Times New Roman" w:hAnsi="Times New Roman" w:cs="Times New Roman"/>
                <w:sz w:val="20"/>
                <w:szCs w:val="20"/>
              </w:rPr>
              <w:t>минималната месечна работна заплата на академичния състав</w:t>
            </w:r>
            <w:r>
              <w:rPr>
                <w:rFonts w:ascii="Times New Roman" w:eastAsia="Times New Roman" w:hAnsi="Times New Roman" w:cs="Times New Roman"/>
                <w:sz w:val="20"/>
                <w:szCs w:val="20"/>
              </w:rPr>
              <w:t>,</w:t>
            </w:r>
            <w:r w:rsidRPr="00213D80">
              <w:rPr>
                <w:rFonts w:ascii="Times New Roman" w:eastAsia="Times New Roman" w:hAnsi="Times New Roman" w:cs="Times New Roman"/>
                <w:sz w:val="20"/>
                <w:szCs w:val="20"/>
              </w:rPr>
              <w:t xml:space="preserve"> за увеличаване на възнагражденията на академичния състав са предвидени 8,0 млн. лв. за Българската академия на науките</w:t>
            </w:r>
            <w:r>
              <w:rPr>
                <w:rFonts w:ascii="Times New Roman" w:eastAsia="Times New Roman" w:hAnsi="Times New Roman" w:cs="Times New Roman"/>
                <w:sz w:val="20"/>
                <w:szCs w:val="20"/>
              </w:rPr>
              <w:t xml:space="preserve"> в рамките на предвидения общ</w:t>
            </w:r>
            <w:r w:rsidRPr="00213D80">
              <w:rPr>
                <w:rFonts w:ascii="Times New Roman" w:eastAsia="Times New Roman" w:hAnsi="Times New Roman" w:cs="Times New Roman"/>
                <w:sz w:val="20"/>
                <w:szCs w:val="20"/>
              </w:rPr>
              <w:t xml:space="preserve"> ресурс </w:t>
            </w:r>
            <w:r>
              <w:rPr>
                <w:rFonts w:ascii="Times New Roman" w:hAnsi="Times New Roman" w:cs="Times New Roman"/>
                <w:color w:val="000000"/>
                <w:sz w:val="20"/>
                <w:szCs w:val="20"/>
              </w:rPr>
              <w:t>с проекта</w:t>
            </w:r>
            <w:r w:rsidRPr="0082189C">
              <w:rPr>
                <w:rFonts w:ascii="Times New Roman" w:hAnsi="Times New Roman" w:cs="Times New Roman"/>
                <w:color w:val="000000"/>
                <w:sz w:val="20"/>
                <w:szCs w:val="20"/>
              </w:rPr>
              <w:t xml:space="preserve"> на ЗДБРБ за 2024 г. в</w:t>
            </w:r>
            <w:r w:rsidRPr="0082189C">
              <w:rPr>
                <w:sz w:val="20"/>
                <w:szCs w:val="20"/>
              </w:rPr>
              <w:t xml:space="preserve"> </w:t>
            </w:r>
            <w:r w:rsidRPr="0082189C">
              <w:rPr>
                <w:rFonts w:ascii="Times New Roman" w:hAnsi="Times New Roman" w:cs="Times New Roman"/>
                <w:color w:val="000000"/>
                <w:sz w:val="20"/>
                <w:szCs w:val="20"/>
              </w:rPr>
              <w:t>чл. 1, ал. 5</w:t>
            </w:r>
            <w:r>
              <w:rPr>
                <w:rFonts w:ascii="Times New Roman" w:hAnsi="Times New Roman" w:cs="Times New Roman"/>
                <w:color w:val="000000"/>
                <w:sz w:val="20"/>
                <w:szCs w:val="20"/>
              </w:rPr>
              <w:t xml:space="preserve"> </w:t>
            </w:r>
            <w:r w:rsidRPr="0082189C">
              <w:rPr>
                <w:rFonts w:ascii="Times New Roman" w:hAnsi="Times New Roman" w:cs="Times New Roman"/>
                <w:color w:val="000000"/>
                <w:sz w:val="20"/>
                <w:szCs w:val="20"/>
              </w:rPr>
              <w:t>за преодоляване на диспропорции във възнагражденията на персонала в бюджетните организации с оглед изглаждане на наблюдавани значителни дисбаланси/неравенства в нивото на заплащане в различни административни звена и структури в секторите, предоставящи публични услуги</w:t>
            </w:r>
            <w:r>
              <w:rPr>
                <w:rFonts w:ascii="Times New Roman" w:hAnsi="Times New Roman" w:cs="Times New Roman"/>
                <w:color w:val="000000"/>
                <w:sz w:val="20"/>
                <w:szCs w:val="20"/>
              </w:rPr>
              <w:t>.</w:t>
            </w: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b/>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НАЦИОНАЛEН ОСИГУРИТЕЛЕН ИНСТИТУТ</w:t>
            </w:r>
          </w:p>
        </w:tc>
        <w:tc>
          <w:tcPr>
            <w:tcW w:w="1868" w:type="pct"/>
            <w:shd w:val="clear" w:color="auto" w:fill="auto"/>
          </w:tcPr>
          <w:p w:rsidR="00DC7AD7" w:rsidRPr="00F62685" w:rsidRDefault="00DC7AD7" w:rsidP="00097BFC">
            <w:pPr>
              <w:spacing w:before="120" w:after="60" w:line="240" w:lineRule="auto"/>
              <w:jc w:val="center"/>
              <w:rPr>
                <w:rFonts w:ascii="Times New Roman" w:eastAsia="Times New Roman" w:hAnsi="Times New Roman" w:cs="Times New Roman"/>
                <w:b/>
                <w:sz w:val="20"/>
                <w:szCs w:val="20"/>
                <w:u w:val="single"/>
              </w:rPr>
            </w:pPr>
            <w:r w:rsidRPr="00F62685">
              <w:rPr>
                <w:rFonts w:ascii="Times New Roman" w:eastAsia="Times New Roman" w:hAnsi="Times New Roman" w:cs="Times New Roman"/>
                <w:b/>
                <w:sz w:val="20"/>
                <w:szCs w:val="20"/>
                <w:u w:val="single"/>
              </w:rPr>
              <w:t>СЪГЛАСУВА БЕЗ БЕЛЕЖКИ</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b/>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НАЦИОНАЛНА ЗДРАВНООСИГУРИТЕЛНА КАСА</w:t>
            </w:r>
          </w:p>
        </w:tc>
        <w:tc>
          <w:tcPr>
            <w:tcW w:w="1868" w:type="pct"/>
            <w:shd w:val="clear" w:color="auto" w:fill="auto"/>
          </w:tcPr>
          <w:p w:rsidR="00DC7AD7" w:rsidRPr="00F62685" w:rsidRDefault="00DC7AD7" w:rsidP="00097BFC">
            <w:pPr>
              <w:spacing w:before="120" w:after="60" w:line="240" w:lineRule="auto"/>
              <w:jc w:val="center"/>
              <w:rPr>
                <w:rFonts w:ascii="Times New Roman" w:eastAsia="Times New Roman" w:hAnsi="Times New Roman" w:cs="Times New Roman"/>
                <w:b/>
                <w:sz w:val="20"/>
                <w:szCs w:val="20"/>
                <w:u w:val="single"/>
              </w:rPr>
            </w:pPr>
            <w:r w:rsidRPr="00F62685">
              <w:rPr>
                <w:rFonts w:ascii="Times New Roman" w:eastAsia="Times New Roman" w:hAnsi="Times New Roman" w:cs="Times New Roman"/>
                <w:b/>
                <w:sz w:val="20"/>
                <w:szCs w:val="20"/>
                <w:u w:val="single"/>
              </w:rPr>
              <w:t>СЪГЛАСУВА БЕЗ БЕЛЕЖКИ</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E9260B">
        <w:trPr>
          <w:trHeight w:val="64"/>
        </w:trPr>
        <w:tc>
          <w:tcPr>
            <w:tcW w:w="941" w:type="pct"/>
            <w:shd w:val="clear" w:color="auto" w:fill="BDD6EE" w:themeFill="accent1" w:themeFillTint="66"/>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DC7AD7" w:rsidRPr="00F62685" w:rsidRDefault="00DC7AD7" w:rsidP="00097BFC">
            <w:pPr>
              <w:spacing w:after="60" w:line="240" w:lineRule="auto"/>
              <w:jc w:val="both"/>
              <w:rPr>
                <w:rFonts w:ascii="Times New Roman" w:eastAsia="Times New Roman" w:hAnsi="Times New Roman" w:cs="Times New Roman"/>
                <w:b/>
                <w:sz w:val="20"/>
                <w:szCs w:val="20"/>
              </w:rPr>
            </w:pPr>
          </w:p>
        </w:tc>
        <w:tc>
          <w:tcPr>
            <w:tcW w:w="574" w:type="pct"/>
            <w:shd w:val="clear" w:color="auto" w:fill="BDD6EE" w:themeFill="accent1" w:themeFillTint="66"/>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DC7AD7" w:rsidRPr="00F62685"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DE00BF">
        <w:trPr>
          <w:trHeight w:val="161"/>
        </w:trPr>
        <w:tc>
          <w:tcPr>
            <w:tcW w:w="941" w:type="pct"/>
            <w:shd w:val="clear" w:color="auto" w:fill="auto"/>
          </w:tcPr>
          <w:p w:rsidR="00DC7AD7" w:rsidRPr="00F62685" w:rsidRDefault="00DC7AD7" w:rsidP="00DC7AD7">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НАЦИОНАЛНО СДРУЖЕНИЕ НА ОБЩИНИТЕ В РЕПУБЛИКА БЪЛГАРИЯ</w:t>
            </w:r>
          </w:p>
        </w:tc>
        <w:tc>
          <w:tcPr>
            <w:tcW w:w="1868" w:type="pct"/>
            <w:shd w:val="clear" w:color="auto" w:fill="auto"/>
          </w:tcPr>
          <w:p w:rsidR="00DC7AD7" w:rsidRPr="00893A7D" w:rsidRDefault="00DC7AD7" w:rsidP="00097BFC">
            <w:pPr>
              <w:spacing w:after="60" w:line="240" w:lineRule="auto"/>
              <w:jc w:val="both"/>
              <w:rPr>
                <w:rFonts w:ascii="Times New Roman" w:eastAsia="Times New Roman" w:hAnsi="Times New Roman" w:cs="Times New Roman"/>
                <w:b/>
                <w:sz w:val="20"/>
                <w:szCs w:val="20"/>
              </w:rPr>
            </w:pPr>
            <w:r w:rsidRPr="00893A7D">
              <w:rPr>
                <w:rFonts w:ascii="Times New Roman" w:eastAsia="Times New Roman" w:hAnsi="Times New Roman" w:cs="Times New Roman"/>
                <w:b/>
                <w:sz w:val="20"/>
                <w:szCs w:val="20"/>
              </w:rPr>
              <w:t>НСОРБ изразява следното становище по проекта на РМС и материалите към него:</w:t>
            </w:r>
          </w:p>
          <w:p w:rsidR="00DC7AD7" w:rsidRDefault="00DC7AD7" w:rsidP="00097BFC">
            <w:pPr>
              <w:spacing w:after="60" w:line="240" w:lineRule="auto"/>
              <w:jc w:val="both"/>
              <w:rPr>
                <w:rFonts w:ascii="Times New Roman" w:eastAsia="Times New Roman" w:hAnsi="Times New Roman" w:cs="Times New Roman"/>
                <w:sz w:val="20"/>
                <w:szCs w:val="20"/>
              </w:rPr>
            </w:pPr>
          </w:p>
          <w:p w:rsidR="00DC7AD7" w:rsidRPr="000E69A6" w:rsidRDefault="00DC7AD7" w:rsidP="00097BFC">
            <w:pPr>
              <w:spacing w:after="60" w:line="240" w:lineRule="auto"/>
              <w:jc w:val="both"/>
              <w:rPr>
                <w:rFonts w:ascii="Times New Roman" w:eastAsia="Times New Roman" w:hAnsi="Times New Roman" w:cs="Times New Roman"/>
                <w:sz w:val="20"/>
                <w:szCs w:val="20"/>
              </w:rPr>
            </w:pPr>
            <w:r w:rsidRPr="000E69A6">
              <w:rPr>
                <w:rFonts w:ascii="Times New Roman" w:eastAsia="Times New Roman" w:hAnsi="Times New Roman" w:cs="Times New Roman"/>
                <w:sz w:val="20"/>
                <w:szCs w:val="20"/>
              </w:rPr>
              <w:t>Предложения, които очакваме да бъдат отразени преди подписването на Протокола между МФ и НСОРБ по чл.77 от ЗДБРБ</w:t>
            </w:r>
          </w:p>
          <w:p w:rsidR="00DC7AD7" w:rsidRPr="000E69A6" w:rsidRDefault="00DC7AD7" w:rsidP="00097BFC">
            <w:pPr>
              <w:spacing w:after="60" w:line="240" w:lineRule="auto"/>
              <w:jc w:val="both"/>
              <w:rPr>
                <w:rFonts w:ascii="Times New Roman" w:eastAsia="Times New Roman" w:hAnsi="Times New Roman" w:cs="Times New Roman"/>
                <w:sz w:val="20"/>
                <w:szCs w:val="20"/>
              </w:rPr>
            </w:pPr>
            <w:r w:rsidRPr="000E69A6">
              <w:rPr>
                <w:rFonts w:ascii="Times New Roman" w:eastAsia="Times New Roman" w:hAnsi="Times New Roman" w:cs="Times New Roman"/>
                <w:sz w:val="20"/>
                <w:szCs w:val="20"/>
              </w:rPr>
              <w:lastRenderedPageBreak/>
              <w:t>1.</w:t>
            </w:r>
            <w:r w:rsidRPr="000E69A6">
              <w:rPr>
                <w:rFonts w:ascii="Times New Roman" w:eastAsia="Times New Roman" w:hAnsi="Times New Roman" w:cs="Times New Roman"/>
                <w:sz w:val="20"/>
                <w:szCs w:val="20"/>
              </w:rPr>
              <w:tab/>
              <w:t>Увеличение на общо средствата за делегирана от държавата дейност „Общинска администрация“ с 94,3 млн. лв. за постигане на 10 % ръст, съгласно договореностите ни от 10.11.2023 г., както и ясно и еднозначно разписване на средствата по стандарта в чл.1, ал.5 и чл. 54, колони 2а и 2б.</w:t>
            </w:r>
          </w:p>
          <w:p w:rsidR="00DC7AD7" w:rsidRPr="000E69A6" w:rsidRDefault="00DC7AD7" w:rsidP="00097BFC">
            <w:pPr>
              <w:spacing w:after="60" w:line="240" w:lineRule="auto"/>
              <w:jc w:val="both"/>
              <w:rPr>
                <w:rFonts w:ascii="Times New Roman" w:eastAsia="Times New Roman" w:hAnsi="Times New Roman" w:cs="Times New Roman"/>
                <w:sz w:val="20"/>
                <w:szCs w:val="20"/>
              </w:rPr>
            </w:pPr>
            <w:r w:rsidRPr="000E69A6">
              <w:rPr>
                <w:rFonts w:ascii="Times New Roman" w:eastAsia="Times New Roman" w:hAnsi="Times New Roman" w:cs="Times New Roman"/>
                <w:sz w:val="20"/>
                <w:szCs w:val="20"/>
              </w:rPr>
              <w:t>Мотиви и разчети за направеното предложение:</w:t>
            </w:r>
          </w:p>
          <w:p w:rsidR="00DC7AD7" w:rsidRPr="000E69A6" w:rsidRDefault="00DC7AD7" w:rsidP="00097BFC">
            <w:pPr>
              <w:spacing w:after="60" w:line="240" w:lineRule="auto"/>
              <w:jc w:val="both"/>
              <w:rPr>
                <w:rFonts w:ascii="Times New Roman" w:eastAsia="Times New Roman" w:hAnsi="Times New Roman" w:cs="Times New Roman"/>
                <w:sz w:val="20"/>
                <w:szCs w:val="20"/>
              </w:rPr>
            </w:pPr>
            <w:r w:rsidRPr="000E69A6">
              <w:rPr>
                <w:rFonts w:ascii="Times New Roman" w:eastAsia="Times New Roman" w:hAnsi="Times New Roman" w:cs="Times New Roman"/>
                <w:sz w:val="20"/>
                <w:szCs w:val="20"/>
              </w:rPr>
              <w:t>1.1.</w:t>
            </w:r>
            <w:r w:rsidRPr="000E69A6">
              <w:rPr>
                <w:rFonts w:ascii="Times New Roman" w:eastAsia="Times New Roman" w:hAnsi="Times New Roman" w:cs="Times New Roman"/>
                <w:sz w:val="20"/>
                <w:szCs w:val="20"/>
              </w:rPr>
              <w:tab/>
              <w:t>В чл. 1, ал. 5, т. 9. „ОБЛАСТ ЕФЕКТИВНО УПРАВЛЕНИЕ“, 9.2. „За възнаграждения на кметски наместници“, разчетената сума да се увеличи с 15 млн. лв. (общо 32,1 млн. лв.), за да се осигури възнаграждение не по-ниско поне от размера на новата минимална работна заплата за страната през 2024 г. Предвидените средства в размер на 18,1 млн. лв. за кметски наместници на 1 842 населени места са крайно недостатъчни, тъй като с тях се осигурява брутна месечна заплата за един кметски наместник в размер на около 630 лв. Тази сума е значително по-ниска от минималната работна заплата, предвидена за 2024 г. Следва да бъде отчетено, че поради отдалечеността между населените места с под 100 жители и други местни специфики, не е реалистично да се очаква, че един кметски наместник би могъл ефективно да изпълнява своите правомощия в две и повече населени места или пък да работи на половин работен ден.</w:t>
            </w:r>
          </w:p>
          <w:p w:rsidR="00DC7AD7" w:rsidRPr="000E69A6" w:rsidRDefault="00DC7AD7" w:rsidP="00097BFC">
            <w:pPr>
              <w:spacing w:after="60" w:line="240" w:lineRule="auto"/>
              <w:jc w:val="both"/>
              <w:rPr>
                <w:rFonts w:ascii="Times New Roman" w:eastAsia="Times New Roman" w:hAnsi="Times New Roman" w:cs="Times New Roman"/>
                <w:sz w:val="20"/>
                <w:szCs w:val="20"/>
              </w:rPr>
            </w:pPr>
            <w:r w:rsidRPr="000E69A6">
              <w:rPr>
                <w:rFonts w:ascii="Times New Roman" w:eastAsia="Times New Roman" w:hAnsi="Times New Roman" w:cs="Times New Roman"/>
                <w:sz w:val="20"/>
                <w:szCs w:val="20"/>
              </w:rPr>
              <w:t>1.2.</w:t>
            </w:r>
            <w:r w:rsidRPr="000E69A6">
              <w:rPr>
                <w:rFonts w:ascii="Times New Roman" w:eastAsia="Times New Roman" w:hAnsi="Times New Roman" w:cs="Times New Roman"/>
                <w:sz w:val="20"/>
                <w:szCs w:val="20"/>
              </w:rPr>
              <w:tab/>
              <w:t>В чл. 1, ал. 5, т.9 „ОБЛАСТ ЕФЕКТИВНО УПРАВЛЕНИЕ“, т.9.1.1. са заложени 32 млн. лв. за делегирана от държавата дейност „Общинска администрация“. За сумата не е предвидена разбивка, нито пояснения и се налага да налучкваме за какви цели ще се ползва. Приемаме, че средствата, предвидени по чл. 1, ал. 5, т. 9, подточка 9.1.1. се отнасят до компонент 2b на чл. 54 - за „служители в общинска администрация“. За постигане на договорения по време на преговорите ръст от 10 % , тази сума следва да бъде 47 млн. лв. (увеличена допълнително с 15 млн. лв.)</w:t>
            </w:r>
          </w:p>
          <w:p w:rsidR="00DC7AD7" w:rsidRPr="000E69A6" w:rsidRDefault="00DC7AD7" w:rsidP="00097BFC">
            <w:pPr>
              <w:spacing w:after="60" w:line="240" w:lineRule="auto"/>
              <w:jc w:val="both"/>
              <w:rPr>
                <w:rFonts w:ascii="Times New Roman" w:eastAsia="Times New Roman" w:hAnsi="Times New Roman" w:cs="Times New Roman"/>
                <w:sz w:val="20"/>
                <w:szCs w:val="20"/>
              </w:rPr>
            </w:pPr>
            <w:r w:rsidRPr="000E69A6">
              <w:rPr>
                <w:rFonts w:ascii="Times New Roman" w:eastAsia="Times New Roman" w:hAnsi="Times New Roman" w:cs="Times New Roman"/>
                <w:sz w:val="20"/>
                <w:szCs w:val="20"/>
              </w:rPr>
              <w:t>1.3.</w:t>
            </w:r>
            <w:r w:rsidRPr="000E69A6">
              <w:rPr>
                <w:rFonts w:ascii="Times New Roman" w:eastAsia="Times New Roman" w:hAnsi="Times New Roman" w:cs="Times New Roman"/>
                <w:sz w:val="20"/>
                <w:szCs w:val="20"/>
              </w:rPr>
              <w:tab/>
              <w:t xml:space="preserve">Никъде не е предвиден ръст на средствата за компонент „кметове“, в който да се отразят новите 1 026 кметове на населени места. Във Ваше писмо № 91-00-153/09.11.2023 г. е посочено, че допълнителните средства за новите изборни длъжности в кметствата с население от 100 до 349 жители, в които на местните избори бяха избрани кметове, са в размер на 43 млн. лв. След добавянето на този нов ангажимент и приспадането на 35,8 млн. лв. за възнагражденията на досегашните кметски наместници в тези населени места от сумата за 2023 г. по компонент 2а “кметове“ (106,6 млн. лв.), за изборните длъжности в общините би следвало да бъдат предвидени общо 113,8 млн. лв., а при договорен ръст от 10 на </w:t>
            </w:r>
            <w:r w:rsidRPr="000E69A6">
              <w:rPr>
                <w:rFonts w:ascii="Times New Roman" w:eastAsia="Times New Roman" w:hAnsi="Times New Roman" w:cs="Times New Roman"/>
                <w:sz w:val="20"/>
                <w:szCs w:val="20"/>
              </w:rPr>
              <w:lastRenderedPageBreak/>
              <w:t>сто – средствата по този компонент следва да бъдат не по-малко от 125,1 млн. лв. Не осигуряването на необходимия ресурс за възнаграждения на изборните длъжности не е възможно да бъде компенсирано от общинския бюджет, поради това, че броят на населените места с избрани кметове на населени места в повечето общини е значителен. В тази връзка настояваме компонентът „кметове“ да бъде увеличен с 32,3 млн. лв. (разликата между 92,8 млн. лв. за 2023 г. и 125,1 млн. лв., колкото следва да бъде в 2024 г.)</w:t>
            </w:r>
          </w:p>
          <w:p w:rsidR="00DC7AD7" w:rsidRPr="00F62685" w:rsidRDefault="00DC7AD7" w:rsidP="00097BFC">
            <w:pPr>
              <w:spacing w:after="60" w:line="240" w:lineRule="auto"/>
              <w:jc w:val="both"/>
              <w:rPr>
                <w:rFonts w:ascii="Times New Roman" w:eastAsia="Times New Roman" w:hAnsi="Times New Roman" w:cs="Times New Roman"/>
                <w:sz w:val="20"/>
                <w:szCs w:val="20"/>
              </w:rPr>
            </w:pPr>
            <w:r w:rsidRPr="000E69A6">
              <w:rPr>
                <w:rFonts w:ascii="Times New Roman" w:eastAsia="Times New Roman" w:hAnsi="Times New Roman" w:cs="Times New Roman"/>
                <w:sz w:val="20"/>
                <w:szCs w:val="20"/>
              </w:rPr>
              <w:t>1.4.</w:t>
            </w:r>
            <w:r w:rsidRPr="000E69A6">
              <w:rPr>
                <w:rFonts w:ascii="Times New Roman" w:eastAsia="Times New Roman" w:hAnsi="Times New Roman" w:cs="Times New Roman"/>
                <w:sz w:val="20"/>
                <w:szCs w:val="20"/>
              </w:rPr>
              <w:tab/>
              <w:t>Горепосочените промени да бъдат отразени съответно в таблиците по чл. 53 и чл. 54 и в чл. 1, ал. 2, Раздел III. БЮДЖЕТНИ ВЗАИМООТНОШЕНИЯ (ТРАНСФЕРИ) - НЕТО, т. 1.1. Общините.</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1. Не се приема</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p w:rsidR="00DC7AD7" w:rsidRPr="00657A5B" w:rsidRDefault="00DC7AD7" w:rsidP="00DC7AD7">
            <w:pPr>
              <w:spacing w:after="0" w:line="240" w:lineRule="auto"/>
              <w:rPr>
                <w:rFonts w:ascii="Times New Roman" w:eastAsia="Times New Roman" w:hAnsi="Times New Roman" w:cs="Times New Roman"/>
                <w:b/>
                <w:sz w:val="20"/>
                <w:szCs w:val="20"/>
              </w:rPr>
            </w:pP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pStyle w:val="BodyTextIndent"/>
              <w:ind w:left="0"/>
              <w:jc w:val="both"/>
              <w:rPr>
                <w:rFonts w:ascii="Times New Roman" w:eastAsia="Times New Roman" w:hAnsi="Times New Roman" w:cs="Times New Roman"/>
                <w:sz w:val="20"/>
                <w:szCs w:val="20"/>
              </w:rPr>
            </w:pPr>
            <w:r w:rsidRPr="00DF4F34">
              <w:rPr>
                <w:rFonts w:ascii="Times New Roman" w:eastAsia="Times New Roman" w:hAnsi="Times New Roman" w:cs="Times New Roman"/>
                <w:b/>
                <w:sz w:val="20"/>
                <w:szCs w:val="20"/>
              </w:rPr>
              <w:t>1.</w:t>
            </w:r>
            <w:r>
              <w:rPr>
                <w:rFonts w:ascii="Times New Roman" w:eastAsia="Times New Roman" w:hAnsi="Times New Roman" w:cs="Times New Roman"/>
                <w:sz w:val="20"/>
                <w:szCs w:val="20"/>
              </w:rPr>
              <w:t xml:space="preserve"> Увеличението на разходите за персонал следва да се разглежда в рамките на цялостна политика в областта </w:t>
            </w:r>
            <w:r>
              <w:rPr>
                <w:rFonts w:ascii="Times New Roman" w:eastAsia="Times New Roman" w:hAnsi="Times New Roman" w:cs="Times New Roman"/>
                <w:sz w:val="20"/>
                <w:szCs w:val="20"/>
              </w:rPr>
              <w:lastRenderedPageBreak/>
              <w:t xml:space="preserve">на възнагражденията в администрацията, като механизмът ще се определи с акт на Министерски съвет. За тази цел разчетени средства за общини за изравняване на диспропорции и за увеличение на възнагражденията на персонала са определени в размер на 10 процента  спрямо достигнатите нива през 2023 г. </w:t>
            </w:r>
          </w:p>
          <w:p w:rsidR="00DC7AD7" w:rsidRDefault="00DC7AD7" w:rsidP="00DC7AD7">
            <w:pPr>
              <w:pStyle w:val="BodyTextIndent"/>
              <w:ind w:left="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Осигурени са средства и за кметовете и кметските наместници, които се разчита да бъдат определени от Общинските съвети на територията на страната.</w:t>
            </w:r>
          </w:p>
          <w:p w:rsidR="00DC7AD7" w:rsidRDefault="00DC7AD7" w:rsidP="00DC7AD7">
            <w:pPr>
              <w:pStyle w:val="BodyTextIndent"/>
              <w:ind w:left="0"/>
              <w:jc w:val="both"/>
              <w:rPr>
                <w:rFonts w:ascii="Times New Roman" w:eastAsia="Times New Roman" w:hAnsi="Times New Roman" w:cs="Times New Roman"/>
                <w:sz w:val="20"/>
                <w:szCs w:val="20"/>
              </w:rPr>
            </w:pPr>
          </w:p>
          <w:p w:rsidR="00DC7AD7" w:rsidRDefault="00DC7AD7" w:rsidP="00DC7AD7">
            <w:pPr>
              <w:pStyle w:val="BodyTextIndent"/>
              <w:ind w:left="0"/>
              <w:jc w:val="both"/>
              <w:rPr>
                <w:rFonts w:ascii="Times New Roman" w:eastAsia="Times New Roman" w:hAnsi="Times New Roman" w:cs="Times New Roman"/>
                <w:sz w:val="20"/>
                <w:szCs w:val="20"/>
              </w:rPr>
            </w:pPr>
          </w:p>
          <w:p w:rsidR="00DC7AD7" w:rsidRDefault="00DC7AD7" w:rsidP="00DC7AD7">
            <w:pPr>
              <w:pStyle w:val="BodyTextIndent"/>
              <w:ind w:left="0"/>
              <w:jc w:val="both"/>
              <w:rPr>
                <w:rFonts w:ascii="Times New Roman" w:eastAsia="Times New Roman" w:hAnsi="Times New Roman" w:cs="Times New Roman"/>
                <w:sz w:val="20"/>
                <w:szCs w:val="20"/>
              </w:rPr>
            </w:pPr>
          </w:p>
          <w:p w:rsidR="00DC7AD7" w:rsidRDefault="00DC7AD7" w:rsidP="00DC7AD7">
            <w:pPr>
              <w:pStyle w:val="BodyTextIndent"/>
              <w:ind w:left="0"/>
              <w:jc w:val="both"/>
              <w:rPr>
                <w:rFonts w:ascii="Times New Roman" w:eastAsia="Times New Roman" w:hAnsi="Times New Roman" w:cs="Times New Roman"/>
                <w:sz w:val="20"/>
                <w:szCs w:val="20"/>
              </w:rPr>
            </w:pPr>
          </w:p>
          <w:p w:rsidR="00DC7AD7" w:rsidRDefault="00DC7AD7" w:rsidP="00DC7AD7">
            <w:pPr>
              <w:pStyle w:val="BodyTextIndent"/>
              <w:ind w:left="0"/>
              <w:jc w:val="both"/>
              <w:rPr>
                <w:rFonts w:ascii="Times New Roman" w:eastAsia="Times New Roman" w:hAnsi="Times New Roman" w:cs="Times New Roman"/>
                <w:sz w:val="20"/>
                <w:szCs w:val="20"/>
              </w:rPr>
            </w:pPr>
          </w:p>
          <w:p w:rsidR="00DC7AD7" w:rsidRDefault="00DC7AD7" w:rsidP="00DC7AD7">
            <w:pPr>
              <w:pStyle w:val="BodyTextIndent"/>
              <w:ind w:left="0"/>
              <w:jc w:val="both"/>
              <w:rPr>
                <w:rFonts w:ascii="Times New Roman" w:eastAsia="Times New Roman" w:hAnsi="Times New Roman" w:cs="Times New Roman"/>
                <w:sz w:val="20"/>
                <w:szCs w:val="20"/>
              </w:rPr>
            </w:pPr>
          </w:p>
          <w:p w:rsidR="00DC7AD7" w:rsidRDefault="00DC7AD7" w:rsidP="00DC7AD7">
            <w:pPr>
              <w:pStyle w:val="BodyTextIndent"/>
              <w:ind w:left="0"/>
              <w:jc w:val="both"/>
              <w:rPr>
                <w:rFonts w:ascii="Times New Roman" w:eastAsia="Times New Roman" w:hAnsi="Times New Roman" w:cs="Times New Roman"/>
                <w:sz w:val="20"/>
                <w:szCs w:val="20"/>
              </w:rPr>
            </w:pPr>
          </w:p>
          <w:p w:rsidR="00DC7AD7" w:rsidRDefault="00DC7AD7" w:rsidP="00DC7AD7">
            <w:pPr>
              <w:pStyle w:val="BodyTextIndent"/>
              <w:ind w:left="0"/>
              <w:jc w:val="both"/>
              <w:rPr>
                <w:rFonts w:ascii="Times New Roman" w:eastAsia="Times New Roman" w:hAnsi="Times New Roman" w:cs="Times New Roman"/>
                <w:sz w:val="20"/>
                <w:szCs w:val="20"/>
              </w:rPr>
            </w:pPr>
          </w:p>
          <w:p w:rsidR="00DC7AD7" w:rsidRDefault="00DC7AD7" w:rsidP="00DC7AD7">
            <w:pPr>
              <w:pStyle w:val="BodyTextIndent"/>
              <w:ind w:left="0"/>
              <w:jc w:val="both"/>
              <w:rPr>
                <w:rFonts w:ascii="Times New Roman" w:eastAsia="Times New Roman" w:hAnsi="Times New Roman" w:cs="Times New Roman"/>
                <w:sz w:val="20"/>
                <w:szCs w:val="20"/>
              </w:rPr>
            </w:pPr>
          </w:p>
          <w:p w:rsidR="00DC7AD7" w:rsidRDefault="00DC7AD7" w:rsidP="00DC7AD7">
            <w:pPr>
              <w:pStyle w:val="BodyTextIndent"/>
              <w:ind w:left="0"/>
              <w:jc w:val="both"/>
              <w:rPr>
                <w:rFonts w:ascii="Times New Roman" w:eastAsia="Times New Roman" w:hAnsi="Times New Roman" w:cs="Times New Roman"/>
                <w:sz w:val="20"/>
                <w:szCs w:val="20"/>
              </w:rPr>
            </w:pPr>
          </w:p>
          <w:p w:rsidR="00DC7AD7" w:rsidRDefault="00DC7AD7" w:rsidP="00DC7AD7">
            <w:pPr>
              <w:pStyle w:val="BodyTextIndent"/>
              <w:ind w:left="0"/>
              <w:jc w:val="both"/>
              <w:rPr>
                <w:rFonts w:ascii="Times New Roman" w:eastAsia="Times New Roman" w:hAnsi="Times New Roman" w:cs="Times New Roman"/>
                <w:sz w:val="20"/>
                <w:szCs w:val="20"/>
              </w:rPr>
            </w:pPr>
          </w:p>
          <w:p w:rsidR="00DC7AD7" w:rsidRDefault="00DC7AD7" w:rsidP="00DC7AD7">
            <w:pPr>
              <w:pStyle w:val="BodyTextIndent"/>
              <w:ind w:left="0"/>
              <w:jc w:val="both"/>
              <w:rPr>
                <w:rFonts w:ascii="Times New Roman" w:eastAsia="Times New Roman" w:hAnsi="Times New Roman" w:cs="Times New Roman"/>
                <w:sz w:val="20"/>
                <w:szCs w:val="20"/>
              </w:rPr>
            </w:pPr>
          </w:p>
          <w:p w:rsidR="00DC7AD7" w:rsidRDefault="00DC7AD7" w:rsidP="00DC7AD7">
            <w:pPr>
              <w:pStyle w:val="BodyTextIndent"/>
              <w:ind w:left="0"/>
              <w:jc w:val="both"/>
              <w:rPr>
                <w:rFonts w:ascii="Times New Roman" w:eastAsia="Times New Roman" w:hAnsi="Times New Roman" w:cs="Times New Roman"/>
                <w:sz w:val="20"/>
                <w:szCs w:val="20"/>
              </w:rPr>
            </w:pPr>
          </w:p>
          <w:p w:rsidR="00DC7AD7" w:rsidRDefault="00DC7AD7" w:rsidP="00DC7AD7">
            <w:pPr>
              <w:pStyle w:val="BodyTextIndent"/>
              <w:ind w:left="0"/>
              <w:jc w:val="both"/>
              <w:rPr>
                <w:rFonts w:ascii="Times New Roman" w:eastAsia="Times New Roman" w:hAnsi="Times New Roman" w:cs="Times New Roman"/>
                <w:sz w:val="20"/>
                <w:szCs w:val="20"/>
              </w:rPr>
            </w:pPr>
          </w:p>
          <w:p w:rsidR="00DC7AD7" w:rsidRDefault="00DC7AD7" w:rsidP="00DC7AD7">
            <w:pPr>
              <w:pStyle w:val="BodyTextIndent"/>
              <w:ind w:left="0"/>
              <w:jc w:val="both"/>
              <w:rPr>
                <w:rFonts w:ascii="Times New Roman" w:eastAsia="Times New Roman" w:hAnsi="Times New Roman" w:cs="Times New Roman"/>
                <w:sz w:val="20"/>
                <w:szCs w:val="20"/>
              </w:rPr>
            </w:pPr>
          </w:p>
          <w:p w:rsidR="00DC7AD7" w:rsidRDefault="00DC7AD7" w:rsidP="00DC7AD7">
            <w:pPr>
              <w:pStyle w:val="BodyTextIndent"/>
              <w:ind w:left="0"/>
              <w:jc w:val="both"/>
              <w:rPr>
                <w:rFonts w:ascii="Times New Roman" w:eastAsia="Times New Roman" w:hAnsi="Times New Roman" w:cs="Times New Roman"/>
                <w:sz w:val="20"/>
                <w:szCs w:val="20"/>
              </w:rPr>
            </w:pPr>
          </w:p>
          <w:p w:rsidR="00DC7AD7" w:rsidRDefault="00DC7AD7" w:rsidP="00DC7AD7">
            <w:pPr>
              <w:pStyle w:val="BodyTextIndent"/>
              <w:ind w:left="0"/>
              <w:jc w:val="both"/>
              <w:rPr>
                <w:rFonts w:ascii="Times New Roman" w:eastAsia="Times New Roman" w:hAnsi="Times New Roman" w:cs="Times New Roman"/>
                <w:sz w:val="20"/>
                <w:szCs w:val="20"/>
              </w:rPr>
            </w:pPr>
          </w:p>
          <w:p w:rsidR="00DC7AD7" w:rsidRDefault="00DC7AD7" w:rsidP="00DC7AD7">
            <w:pPr>
              <w:pStyle w:val="BodyTextIndent"/>
              <w:ind w:left="0"/>
              <w:jc w:val="both"/>
              <w:rPr>
                <w:rFonts w:ascii="Times New Roman" w:eastAsia="Times New Roman" w:hAnsi="Times New Roman" w:cs="Times New Roman"/>
                <w:sz w:val="20"/>
                <w:szCs w:val="20"/>
              </w:rPr>
            </w:pPr>
          </w:p>
          <w:p w:rsidR="00DC7AD7" w:rsidRDefault="00DC7AD7" w:rsidP="00DC7AD7">
            <w:pPr>
              <w:pStyle w:val="BodyTextIndent"/>
              <w:ind w:left="0"/>
              <w:jc w:val="both"/>
              <w:rPr>
                <w:rFonts w:ascii="Times New Roman" w:eastAsia="Times New Roman" w:hAnsi="Times New Roman" w:cs="Times New Roman"/>
                <w:sz w:val="20"/>
                <w:szCs w:val="20"/>
              </w:rPr>
            </w:pPr>
          </w:p>
          <w:p w:rsidR="00DC7AD7" w:rsidRDefault="00DC7AD7" w:rsidP="00DC7AD7">
            <w:pPr>
              <w:pStyle w:val="BodyTextIndent"/>
              <w:ind w:left="0"/>
              <w:jc w:val="both"/>
              <w:rPr>
                <w:rFonts w:ascii="Times New Roman" w:eastAsia="Times New Roman" w:hAnsi="Times New Roman" w:cs="Times New Roman"/>
                <w:sz w:val="20"/>
                <w:szCs w:val="20"/>
              </w:rPr>
            </w:pPr>
          </w:p>
          <w:p w:rsidR="00DC7AD7" w:rsidRDefault="00DC7AD7" w:rsidP="00DC7AD7">
            <w:pPr>
              <w:pStyle w:val="BodyTextIndent"/>
              <w:ind w:left="0"/>
              <w:jc w:val="both"/>
              <w:rPr>
                <w:rFonts w:ascii="Times New Roman" w:eastAsia="Times New Roman" w:hAnsi="Times New Roman" w:cs="Times New Roman"/>
                <w:sz w:val="20"/>
                <w:szCs w:val="20"/>
              </w:rPr>
            </w:pPr>
          </w:p>
          <w:p w:rsidR="00DC7AD7" w:rsidRDefault="00DC7AD7" w:rsidP="00DC7AD7">
            <w:pPr>
              <w:pStyle w:val="BodyTextIndent"/>
              <w:ind w:left="0"/>
              <w:jc w:val="both"/>
              <w:rPr>
                <w:rFonts w:ascii="Times New Roman" w:eastAsia="Times New Roman" w:hAnsi="Times New Roman" w:cs="Times New Roman"/>
                <w:sz w:val="20"/>
                <w:szCs w:val="20"/>
              </w:rPr>
            </w:pPr>
          </w:p>
          <w:p w:rsidR="00DC7AD7" w:rsidRDefault="00DC7AD7" w:rsidP="00DC7AD7">
            <w:pPr>
              <w:pStyle w:val="BodyTextIndent"/>
              <w:ind w:left="0"/>
              <w:jc w:val="both"/>
              <w:rPr>
                <w:rFonts w:ascii="Times New Roman" w:eastAsia="Times New Roman" w:hAnsi="Times New Roman" w:cs="Times New Roman"/>
                <w:sz w:val="20"/>
                <w:szCs w:val="20"/>
              </w:rPr>
            </w:pPr>
          </w:p>
          <w:p w:rsidR="00DC7AD7" w:rsidRDefault="00DC7AD7" w:rsidP="00DC7AD7">
            <w:pPr>
              <w:pStyle w:val="BodyTextIndent"/>
              <w:ind w:left="0"/>
              <w:jc w:val="both"/>
              <w:rPr>
                <w:rFonts w:ascii="Times New Roman" w:eastAsia="Times New Roman" w:hAnsi="Times New Roman" w:cs="Times New Roman"/>
                <w:sz w:val="20"/>
                <w:szCs w:val="20"/>
              </w:rPr>
            </w:pPr>
          </w:p>
          <w:p w:rsidR="00DC7AD7" w:rsidRDefault="00DC7AD7" w:rsidP="00DC7AD7">
            <w:pPr>
              <w:pStyle w:val="BodyTextIndent"/>
              <w:ind w:left="0"/>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p w:rsidR="00DC7AD7" w:rsidRDefault="00DC7AD7" w:rsidP="00DC7AD7">
            <w:pPr>
              <w:spacing w:after="0" w:line="240" w:lineRule="auto"/>
              <w:jc w:val="both"/>
              <w:rPr>
                <w:rFonts w:ascii="Times New Roman" w:eastAsia="Times New Roman" w:hAnsi="Times New Roman" w:cs="Times New Roman"/>
                <w:sz w:val="20"/>
                <w:szCs w:val="20"/>
              </w:rPr>
            </w:pPr>
          </w:p>
        </w:tc>
      </w:tr>
      <w:tr w:rsidR="00DC7AD7" w:rsidRPr="00F62685" w:rsidTr="004F2266">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CC140D" w:rsidRDefault="00DC7AD7" w:rsidP="00097BFC">
            <w:pPr>
              <w:spacing w:after="60" w:line="240" w:lineRule="auto"/>
              <w:jc w:val="both"/>
              <w:rPr>
                <w:rFonts w:ascii="Times New Roman" w:eastAsia="Times New Roman" w:hAnsi="Times New Roman" w:cs="Times New Roman"/>
                <w:b/>
                <w:sz w:val="20"/>
                <w:szCs w:val="20"/>
              </w:rPr>
            </w:pPr>
            <w:r w:rsidRPr="00CC140D">
              <w:rPr>
                <w:rFonts w:ascii="Times New Roman" w:eastAsia="Times New Roman" w:hAnsi="Times New Roman" w:cs="Times New Roman"/>
                <w:b/>
                <w:sz w:val="20"/>
                <w:szCs w:val="20"/>
              </w:rPr>
              <w:t>2.</w:t>
            </w:r>
            <w:r w:rsidRPr="00CC140D">
              <w:rPr>
                <w:rFonts w:ascii="Times New Roman" w:eastAsia="Times New Roman" w:hAnsi="Times New Roman" w:cs="Times New Roman"/>
                <w:b/>
                <w:sz w:val="20"/>
                <w:szCs w:val="20"/>
              </w:rPr>
              <w:tab/>
              <w:t>Относно трансферите за местните дейности</w:t>
            </w:r>
          </w:p>
          <w:p w:rsidR="00DC7AD7" w:rsidRPr="00893A7D" w:rsidRDefault="00DC7AD7" w:rsidP="00097BFC">
            <w:pPr>
              <w:spacing w:after="60" w:line="240" w:lineRule="auto"/>
              <w:jc w:val="both"/>
              <w:rPr>
                <w:rFonts w:ascii="Times New Roman" w:eastAsia="Times New Roman" w:hAnsi="Times New Roman" w:cs="Times New Roman"/>
                <w:sz w:val="20"/>
                <w:szCs w:val="20"/>
              </w:rPr>
            </w:pPr>
            <w:r w:rsidRPr="00893A7D">
              <w:rPr>
                <w:rFonts w:ascii="Times New Roman" w:eastAsia="Times New Roman" w:hAnsi="Times New Roman" w:cs="Times New Roman"/>
                <w:sz w:val="20"/>
                <w:szCs w:val="20"/>
              </w:rPr>
              <w:t>2.1.</w:t>
            </w:r>
            <w:r w:rsidRPr="00893A7D">
              <w:rPr>
                <w:rFonts w:ascii="Times New Roman" w:eastAsia="Times New Roman" w:hAnsi="Times New Roman" w:cs="Times New Roman"/>
                <w:sz w:val="20"/>
                <w:szCs w:val="20"/>
              </w:rPr>
              <w:tab/>
              <w:t>Обща изравнителна субсидия</w:t>
            </w:r>
          </w:p>
          <w:p w:rsidR="00DC7AD7" w:rsidRPr="00893A7D" w:rsidRDefault="00DC7AD7" w:rsidP="00097BFC">
            <w:pPr>
              <w:spacing w:after="60" w:line="240" w:lineRule="auto"/>
              <w:jc w:val="both"/>
              <w:rPr>
                <w:rFonts w:ascii="Times New Roman" w:eastAsia="Times New Roman" w:hAnsi="Times New Roman" w:cs="Times New Roman"/>
                <w:sz w:val="20"/>
                <w:szCs w:val="20"/>
              </w:rPr>
            </w:pPr>
            <w:r w:rsidRPr="00893A7D">
              <w:rPr>
                <w:rFonts w:ascii="Times New Roman" w:eastAsia="Times New Roman" w:hAnsi="Times New Roman" w:cs="Times New Roman"/>
                <w:sz w:val="20"/>
                <w:szCs w:val="20"/>
              </w:rPr>
              <w:t xml:space="preserve">Записаният в проекта на ЗДБРБ размер на общата изравнителна субсидия е 410 млн. лв. т.е. ръст от 1,5 % спрямо 2023 г. Не е предвиден и защитния компонент от 50 млн. лв. за компенсиране ръста на МРЗ, заложен в Бюджет 2023 г., което практически означава намаление на трансферите за местни дейности на общините с 5 % спрямо 2023 г. </w:t>
            </w:r>
          </w:p>
          <w:p w:rsidR="00DC7AD7" w:rsidRPr="00893A7D" w:rsidRDefault="00DC7AD7" w:rsidP="00097BFC">
            <w:pPr>
              <w:spacing w:after="60" w:line="240" w:lineRule="auto"/>
              <w:jc w:val="both"/>
              <w:rPr>
                <w:rFonts w:ascii="Times New Roman" w:eastAsia="Times New Roman" w:hAnsi="Times New Roman" w:cs="Times New Roman"/>
                <w:sz w:val="20"/>
                <w:szCs w:val="20"/>
              </w:rPr>
            </w:pPr>
            <w:r w:rsidRPr="00893A7D">
              <w:rPr>
                <w:rFonts w:ascii="Times New Roman" w:eastAsia="Times New Roman" w:hAnsi="Times New Roman" w:cs="Times New Roman"/>
                <w:sz w:val="20"/>
                <w:szCs w:val="20"/>
              </w:rPr>
              <w:t xml:space="preserve">Съгласно договореностите ни от срещата на 10.11.2023 г., постигнахме съгласие размерът на ОИС да бъде увеличен със 60 млн. лв., които да бъдат разпределени между всички 265 общини, за компенсиране на ръста на МРЗ. Чрез него да бъдат подкрепени част от разходите в местните дейности и </w:t>
            </w:r>
            <w:proofErr w:type="spellStart"/>
            <w:r w:rsidRPr="00893A7D">
              <w:rPr>
                <w:rFonts w:ascii="Times New Roman" w:eastAsia="Times New Roman" w:hAnsi="Times New Roman" w:cs="Times New Roman"/>
                <w:sz w:val="20"/>
                <w:szCs w:val="20"/>
              </w:rPr>
              <w:t>дофинансирането</w:t>
            </w:r>
            <w:proofErr w:type="spellEnd"/>
            <w:r w:rsidRPr="00893A7D">
              <w:rPr>
                <w:rFonts w:ascii="Times New Roman" w:eastAsia="Times New Roman" w:hAnsi="Times New Roman" w:cs="Times New Roman"/>
                <w:sz w:val="20"/>
                <w:szCs w:val="20"/>
              </w:rPr>
              <w:t>, обусловени от ръста на минималната работна заплата (МРЗ) през 2024 г. и следващите години. Трансферът да бъде предоставен не за достигане на МРЗ, а за компенсиране на нейното увеличение.</w:t>
            </w:r>
          </w:p>
          <w:p w:rsidR="00DC7AD7" w:rsidRPr="00893A7D" w:rsidRDefault="00DC7AD7" w:rsidP="00097BFC">
            <w:pPr>
              <w:spacing w:after="60" w:line="240" w:lineRule="auto"/>
              <w:jc w:val="both"/>
              <w:rPr>
                <w:rFonts w:ascii="Times New Roman" w:eastAsia="Times New Roman" w:hAnsi="Times New Roman" w:cs="Times New Roman"/>
                <w:sz w:val="20"/>
                <w:szCs w:val="20"/>
              </w:rPr>
            </w:pPr>
            <w:r w:rsidRPr="00893A7D">
              <w:rPr>
                <w:rFonts w:ascii="Times New Roman" w:eastAsia="Times New Roman" w:hAnsi="Times New Roman" w:cs="Times New Roman"/>
                <w:sz w:val="20"/>
                <w:szCs w:val="20"/>
              </w:rPr>
              <w:t>Това увеличение не е отразено в проекта на публикувания за обществено обсъждане проект на ЗДБРБ. В тази връзка, изразяваме нашата увереност, че числата ще бъдат коригирани преди внасянето им в Министерски съвет, като съответните промени се отразят в таблиците по чл. 53 и чл. 54, съответно и в чл. 1, ал. 2, Раздел III. БЮДЖЕТНИ ВЗАИМООТНОШЕНИЯ (ТРАНСФЕРИ) - НЕТО, т. 1.1. Общините.</w:t>
            </w:r>
          </w:p>
          <w:p w:rsidR="00DC7AD7" w:rsidRPr="00893A7D" w:rsidRDefault="00DC7AD7" w:rsidP="00097BFC">
            <w:pPr>
              <w:spacing w:after="60" w:line="240" w:lineRule="auto"/>
              <w:jc w:val="both"/>
              <w:rPr>
                <w:rFonts w:ascii="Times New Roman" w:eastAsia="Times New Roman" w:hAnsi="Times New Roman" w:cs="Times New Roman"/>
                <w:sz w:val="20"/>
                <w:szCs w:val="20"/>
              </w:rPr>
            </w:pPr>
            <w:r w:rsidRPr="00893A7D">
              <w:rPr>
                <w:rFonts w:ascii="Times New Roman" w:eastAsia="Times New Roman" w:hAnsi="Times New Roman" w:cs="Times New Roman"/>
                <w:sz w:val="20"/>
                <w:szCs w:val="20"/>
              </w:rPr>
              <w:t>2.2.</w:t>
            </w:r>
            <w:r w:rsidRPr="00893A7D">
              <w:rPr>
                <w:rFonts w:ascii="Times New Roman" w:eastAsia="Times New Roman" w:hAnsi="Times New Roman" w:cs="Times New Roman"/>
                <w:sz w:val="20"/>
                <w:szCs w:val="20"/>
              </w:rPr>
              <w:tab/>
              <w:t>Зимно поддържане – изчисленията на трансфера по общини считаме, че са грешни. Следва МФ да ги прецизира, тъй като при запазване размера на трансфера на нивата от 2023 г., се отчитат намаления за 63 % от общините и 29 % са без увеличение.</w:t>
            </w:r>
          </w:p>
          <w:p w:rsidR="00DC7AD7" w:rsidRPr="002B7A66" w:rsidRDefault="00DC7AD7" w:rsidP="00097BFC">
            <w:pPr>
              <w:spacing w:after="60" w:line="240" w:lineRule="auto"/>
              <w:jc w:val="both"/>
              <w:rPr>
                <w:rFonts w:ascii="Times New Roman" w:eastAsia="Times New Roman" w:hAnsi="Times New Roman" w:cs="Times New Roman"/>
                <w:b/>
                <w:sz w:val="20"/>
                <w:szCs w:val="20"/>
              </w:rPr>
            </w:pPr>
            <w:r w:rsidRPr="00893A7D">
              <w:rPr>
                <w:rFonts w:ascii="Times New Roman" w:eastAsia="Times New Roman" w:hAnsi="Times New Roman" w:cs="Times New Roman"/>
                <w:sz w:val="20"/>
                <w:szCs w:val="20"/>
              </w:rPr>
              <w:lastRenderedPageBreak/>
              <w:t>2.3.</w:t>
            </w:r>
            <w:r w:rsidRPr="00893A7D">
              <w:rPr>
                <w:rFonts w:ascii="Times New Roman" w:eastAsia="Times New Roman" w:hAnsi="Times New Roman" w:cs="Times New Roman"/>
                <w:sz w:val="20"/>
                <w:szCs w:val="20"/>
              </w:rPr>
              <w:tab/>
              <w:t>ЦСКР – по време на преговорите на 10.11. не беше обсъден ръст на този трансфер, поради създаването на Национална програма в чл. 92 с бюджет от 1 млрд. лв. Същевременно, при публикуване на проекта, се отчита намаление на средствата за някои общини, при запазване на общия размер от 2023 г. Досегашната практика показва, че въпреки измененията на някои от показателите (население, населени места под 10 жители или друго) размера на субсидията по общини не пада под предходната година. В тази връзка, както и поради проектния характер на Националната програма, предложена в чл.92, която тепърва ще се структурира, предлагаме ЦСКР да се увеличи с 25 % спрямо 2023 г.</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2. Приема се частично</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Default="00DC7AD7" w:rsidP="00DC7AD7">
            <w:pPr>
              <w:spacing w:after="120" w:line="240" w:lineRule="auto"/>
              <w:jc w:val="both"/>
              <w:rPr>
                <w:rFonts w:ascii="Times New Roman" w:eastAsia="Times New Roman" w:hAnsi="Times New Roman" w:cs="Times New Roman"/>
                <w:sz w:val="20"/>
                <w:szCs w:val="20"/>
              </w:rPr>
            </w:pPr>
            <w:r w:rsidRPr="00641C1C">
              <w:rPr>
                <w:rFonts w:ascii="Times New Roman" w:eastAsia="Times New Roman" w:hAnsi="Times New Roman" w:cs="Times New Roman"/>
                <w:b/>
                <w:sz w:val="20"/>
                <w:szCs w:val="20"/>
              </w:rPr>
              <w:t>2.</w:t>
            </w:r>
            <w:r w:rsidRPr="00641C1C">
              <w:rPr>
                <w:rFonts w:ascii="Times New Roman" w:eastAsia="Times New Roman" w:hAnsi="Times New Roman" w:cs="Times New Roman"/>
                <w:sz w:val="20"/>
                <w:szCs w:val="20"/>
              </w:rPr>
              <w:t xml:space="preserve"> Разчетни са допълнителни средства под формата на трансфери за местни дейности в размер на 60 млн. лв. за компенсиране на ръста в МРЗ в местните дейности за всички общини. На</w:t>
            </w:r>
            <w:r>
              <w:rPr>
                <w:rFonts w:ascii="Times New Roman" w:eastAsia="Times New Roman" w:hAnsi="Times New Roman" w:cs="Times New Roman"/>
                <w:sz w:val="20"/>
                <w:szCs w:val="20"/>
              </w:rPr>
              <w:t xml:space="preserve"> база актуализирана информация от НСИ, за броя на населените места, са отразени и компенсирани промени между общини в разпределението на трансфера за зимно поддържане. По т. 2.3 Предвидената Национална инвестиционна програма за финансиране на проекти на общини ще удовлетвори в максимална степен приоритетните инвестиции на общините. </w:t>
            </w:r>
          </w:p>
          <w:p w:rsidR="00DC7AD7" w:rsidRPr="005E62CC" w:rsidRDefault="00DC7AD7" w:rsidP="00DC7AD7">
            <w:pPr>
              <w:spacing w:after="120" w:line="240" w:lineRule="auto"/>
              <w:jc w:val="both"/>
              <w:rPr>
                <w:rFonts w:ascii="Times New Roman" w:eastAsia="Times New Roman" w:hAnsi="Times New Roman" w:cs="Times New Roman"/>
                <w:b/>
                <w:sz w:val="20"/>
                <w:szCs w:val="20"/>
              </w:rPr>
            </w:pPr>
          </w:p>
        </w:tc>
      </w:tr>
      <w:tr w:rsidR="00DC7AD7" w:rsidRPr="00F62685" w:rsidTr="004F2266">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893A7D" w:rsidRDefault="00DC7AD7" w:rsidP="00097BFC">
            <w:pPr>
              <w:spacing w:after="60" w:line="240" w:lineRule="auto"/>
              <w:jc w:val="both"/>
              <w:rPr>
                <w:rFonts w:ascii="Times New Roman" w:eastAsia="Times New Roman" w:hAnsi="Times New Roman" w:cs="Times New Roman"/>
                <w:sz w:val="20"/>
                <w:szCs w:val="20"/>
              </w:rPr>
            </w:pPr>
            <w:r w:rsidRPr="002B7A66">
              <w:rPr>
                <w:rFonts w:ascii="Times New Roman" w:eastAsia="Times New Roman" w:hAnsi="Times New Roman" w:cs="Times New Roman"/>
                <w:b/>
                <w:sz w:val="20"/>
                <w:szCs w:val="20"/>
              </w:rPr>
              <w:t>3.</w:t>
            </w:r>
            <w:r w:rsidRPr="00893A7D">
              <w:rPr>
                <w:rFonts w:ascii="Times New Roman" w:eastAsia="Times New Roman" w:hAnsi="Times New Roman" w:cs="Times New Roman"/>
                <w:sz w:val="20"/>
                <w:szCs w:val="20"/>
              </w:rPr>
              <w:tab/>
              <w:t xml:space="preserve"> Предложения по текстовете:</w:t>
            </w:r>
          </w:p>
          <w:p w:rsidR="00DC7AD7" w:rsidRPr="00893A7D" w:rsidRDefault="00DC7AD7" w:rsidP="00097BFC">
            <w:pPr>
              <w:spacing w:after="60" w:line="240" w:lineRule="auto"/>
              <w:jc w:val="both"/>
              <w:rPr>
                <w:rFonts w:ascii="Times New Roman" w:eastAsia="Times New Roman" w:hAnsi="Times New Roman" w:cs="Times New Roman"/>
                <w:sz w:val="20"/>
                <w:szCs w:val="20"/>
              </w:rPr>
            </w:pPr>
            <w:r w:rsidRPr="005E62CC">
              <w:rPr>
                <w:rFonts w:ascii="Times New Roman" w:eastAsia="Times New Roman" w:hAnsi="Times New Roman" w:cs="Times New Roman"/>
                <w:b/>
                <w:sz w:val="20"/>
                <w:szCs w:val="20"/>
              </w:rPr>
              <w:t>3.1</w:t>
            </w:r>
            <w:r w:rsidRPr="00893A7D">
              <w:rPr>
                <w:rFonts w:ascii="Times New Roman" w:eastAsia="Times New Roman" w:hAnsi="Times New Roman" w:cs="Times New Roman"/>
                <w:sz w:val="20"/>
                <w:szCs w:val="20"/>
              </w:rPr>
              <w:t xml:space="preserve">. В чл. 56 да отпадне ал. 4. </w:t>
            </w:r>
          </w:p>
          <w:p w:rsidR="00DC7AD7" w:rsidRPr="00893A7D" w:rsidRDefault="00DC7AD7" w:rsidP="002D45D5">
            <w:pPr>
              <w:spacing w:after="60" w:line="240" w:lineRule="auto"/>
              <w:jc w:val="both"/>
              <w:rPr>
                <w:rFonts w:ascii="Times New Roman" w:eastAsia="Times New Roman" w:hAnsi="Times New Roman" w:cs="Times New Roman"/>
                <w:sz w:val="20"/>
                <w:szCs w:val="20"/>
              </w:rPr>
            </w:pPr>
            <w:r w:rsidRPr="005E62CC">
              <w:rPr>
                <w:rFonts w:ascii="Times New Roman" w:eastAsia="Times New Roman" w:hAnsi="Times New Roman" w:cs="Times New Roman"/>
                <w:sz w:val="20"/>
                <w:szCs w:val="20"/>
                <w:u w:val="single"/>
              </w:rPr>
              <w:t>Мотиви:</w:t>
            </w:r>
            <w:r w:rsidRPr="00893A7D">
              <w:rPr>
                <w:rFonts w:ascii="Times New Roman" w:eastAsia="Times New Roman" w:hAnsi="Times New Roman" w:cs="Times New Roman"/>
                <w:sz w:val="20"/>
                <w:szCs w:val="20"/>
              </w:rPr>
              <w:t xml:space="preserve"> Целевата субсидия за капиталови разходи е трайно установено бюджетно взаимоотношение съгласно ЗПФ (чл. 52). Средствата за общините се разпределят на базата на утвърден със ЗДБРБ механизъм, по обективни и измерими показатели. Разходването на средствата от целевата субсидия за капиталови разходи е само за инвестиции, които се възлагат по ЗОП. Строителният цикъл често надхвърля бюджетната година и въвеждането на </w:t>
            </w:r>
            <w:proofErr w:type="spellStart"/>
            <w:r w:rsidRPr="00893A7D">
              <w:rPr>
                <w:rFonts w:ascii="Times New Roman" w:eastAsia="Times New Roman" w:hAnsi="Times New Roman" w:cs="Times New Roman"/>
                <w:sz w:val="20"/>
                <w:szCs w:val="20"/>
              </w:rPr>
              <w:t>предвиденоto</w:t>
            </w:r>
            <w:proofErr w:type="spellEnd"/>
            <w:r w:rsidRPr="00893A7D">
              <w:rPr>
                <w:rFonts w:ascii="Times New Roman" w:eastAsia="Times New Roman" w:hAnsi="Times New Roman" w:cs="Times New Roman"/>
                <w:sz w:val="20"/>
                <w:szCs w:val="20"/>
              </w:rPr>
              <w:t xml:space="preserve"> изискване в </w:t>
            </w:r>
            <w:proofErr w:type="spellStart"/>
            <w:r w:rsidRPr="00893A7D">
              <w:rPr>
                <w:rFonts w:ascii="Times New Roman" w:eastAsia="Times New Roman" w:hAnsi="Times New Roman" w:cs="Times New Roman"/>
                <w:sz w:val="20"/>
                <w:szCs w:val="20"/>
              </w:rPr>
              <w:t>aл</w:t>
            </w:r>
            <w:proofErr w:type="spellEnd"/>
            <w:r w:rsidRPr="00893A7D">
              <w:rPr>
                <w:rFonts w:ascii="Times New Roman" w:eastAsia="Times New Roman" w:hAnsi="Times New Roman" w:cs="Times New Roman"/>
                <w:sz w:val="20"/>
                <w:szCs w:val="20"/>
              </w:rPr>
              <w:t xml:space="preserve">. 4 на чл. 56 ще доведе до усложняване на процеса и обезсилване на поименните списъци в края на годината. Също така, липсата на издадена фактура към края на годината не е основание за </w:t>
            </w:r>
            <w:proofErr w:type="spellStart"/>
            <w:r w:rsidRPr="00893A7D">
              <w:rPr>
                <w:rFonts w:ascii="Times New Roman" w:eastAsia="Times New Roman" w:hAnsi="Times New Roman" w:cs="Times New Roman"/>
                <w:sz w:val="20"/>
                <w:szCs w:val="20"/>
              </w:rPr>
              <w:t>непредоставянето</w:t>
            </w:r>
            <w:proofErr w:type="spellEnd"/>
            <w:r w:rsidRPr="00893A7D">
              <w:rPr>
                <w:rFonts w:ascii="Times New Roman" w:eastAsia="Times New Roman" w:hAnsi="Times New Roman" w:cs="Times New Roman"/>
                <w:sz w:val="20"/>
                <w:szCs w:val="20"/>
              </w:rPr>
              <w:t xml:space="preserve"> на пълния размер на целевата субсидия, определена със ЗДБРБ и разходването й за същата цел през следващата съгласно чл. 129, ал. 2 от ЗПФ. </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3.1. Не се приема</w:t>
            </w:r>
          </w:p>
        </w:tc>
        <w:tc>
          <w:tcPr>
            <w:tcW w:w="1617" w:type="pct"/>
            <w:shd w:val="clear" w:color="auto" w:fill="auto"/>
          </w:tcPr>
          <w:p w:rsidR="00DC7AD7" w:rsidRPr="002C085D" w:rsidRDefault="00DC7AD7" w:rsidP="00660F5F">
            <w:pPr>
              <w:spacing w:after="120" w:line="240" w:lineRule="auto"/>
              <w:jc w:val="both"/>
              <w:rPr>
                <w:rFonts w:ascii="Times New Roman" w:eastAsia="Times New Roman" w:hAnsi="Times New Roman" w:cs="Times New Roman"/>
                <w:b/>
                <w:sz w:val="20"/>
                <w:szCs w:val="20"/>
              </w:rPr>
            </w:pPr>
            <w:r w:rsidRPr="005E62CC">
              <w:rPr>
                <w:rFonts w:ascii="Times New Roman" w:eastAsia="Times New Roman" w:hAnsi="Times New Roman" w:cs="Times New Roman"/>
                <w:b/>
                <w:sz w:val="20"/>
                <w:szCs w:val="20"/>
              </w:rPr>
              <w:t>3.1.</w:t>
            </w:r>
            <w:r>
              <w:rPr>
                <w:rFonts w:ascii="Times New Roman" w:eastAsia="Times New Roman" w:hAnsi="Times New Roman" w:cs="Times New Roman"/>
                <w:sz w:val="20"/>
                <w:szCs w:val="20"/>
              </w:rPr>
              <w:t xml:space="preserve"> Считаме, че своевременното планиран</w:t>
            </w:r>
            <w:r w:rsidR="00290E64" w:rsidRPr="00A74642">
              <w:rPr>
                <w:rFonts w:ascii="Times New Roman" w:eastAsia="Times New Roman" w:hAnsi="Times New Roman" w:cs="Times New Roman"/>
                <w:sz w:val="20"/>
                <w:szCs w:val="20"/>
                <w:lang w:val="ru-RU"/>
              </w:rPr>
              <w:t>е</w:t>
            </w:r>
            <w:r>
              <w:rPr>
                <w:rFonts w:ascii="Times New Roman" w:eastAsia="Times New Roman" w:hAnsi="Times New Roman" w:cs="Times New Roman"/>
                <w:sz w:val="20"/>
                <w:szCs w:val="20"/>
              </w:rPr>
              <w:t xml:space="preserve"> и усвояване на средствата за целеви субсидии за капиталови разходи на общини е индикатор за добро финансово управление и недопускане нарастването на преходните остатъци поради отлагане на инвестиционни проекти. По отношение на сроковете за тран</w:t>
            </w:r>
            <w:r w:rsidR="00290E64">
              <w:rPr>
                <w:rFonts w:ascii="Times New Roman" w:eastAsia="Times New Roman" w:hAnsi="Times New Roman" w:cs="Times New Roman"/>
                <w:sz w:val="20"/>
                <w:szCs w:val="20"/>
              </w:rPr>
              <w:t>сф</w:t>
            </w:r>
            <w:r>
              <w:rPr>
                <w:rFonts w:ascii="Times New Roman" w:eastAsia="Times New Roman" w:hAnsi="Times New Roman" w:cs="Times New Roman"/>
                <w:sz w:val="20"/>
                <w:szCs w:val="20"/>
              </w:rPr>
              <w:t xml:space="preserve">ормация, същите ще бъдат определени в Постановлението за изпълнение на държавния бюджет за 2024 г. Считаме, че сключването на договор е индикатор за реалистично изпълнение на инвестициите на общините по отношение на целевите средства и намаляване размера на натрупаните </w:t>
            </w:r>
            <w:r w:rsidR="00660F5F">
              <w:rPr>
                <w:rFonts w:ascii="Times New Roman" w:eastAsia="Times New Roman" w:hAnsi="Times New Roman" w:cs="Times New Roman"/>
                <w:sz w:val="20"/>
                <w:szCs w:val="20"/>
              </w:rPr>
              <w:t>неусвоени средства</w:t>
            </w:r>
            <w:r>
              <w:rPr>
                <w:rFonts w:ascii="Times New Roman" w:eastAsia="Times New Roman" w:hAnsi="Times New Roman" w:cs="Times New Roman"/>
                <w:sz w:val="20"/>
                <w:szCs w:val="20"/>
              </w:rPr>
              <w:t xml:space="preserve"> назад в годините.</w:t>
            </w:r>
          </w:p>
        </w:tc>
      </w:tr>
      <w:tr w:rsidR="00DC7AD7" w:rsidRPr="00F62685" w:rsidTr="004F2266">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893A7D" w:rsidRDefault="00DC7AD7" w:rsidP="00097BFC">
            <w:pPr>
              <w:spacing w:after="60" w:line="240" w:lineRule="auto"/>
              <w:jc w:val="both"/>
              <w:rPr>
                <w:rFonts w:ascii="Times New Roman" w:eastAsia="Times New Roman" w:hAnsi="Times New Roman" w:cs="Times New Roman"/>
                <w:sz w:val="20"/>
                <w:szCs w:val="20"/>
              </w:rPr>
            </w:pPr>
            <w:r w:rsidRPr="005E62CC">
              <w:rPr>
                <w:rFonts w:ascii="Times New Roman" w:eastAsia="Times New Roman" w:hAnsi="Times New Roman" w:cs="Times New Roman"/>
                <w:b/>
                <w:sz w:val="20"/>
                <w:szCs w:val="20"/>
              </w:rPr>
              <w:t>3.2.</w:t>
            </w:r>
            <w:r w:rsidRPr="00893A7D">
              <w:rPr>
                <w:rFonts w:ascii="Times New Roman" w:eastAsia="Times New Roman" w:hAnsi="Times New Roman" w:cs="Times New Roman"/>
                <w:sz w:val="20"/>
                <w:szCs w:val="20"/>
              </w:rPr>
              <w:t xml:space="preserve"> В чл. 57, ал. 1 след думите „по механизъм“ се добавя „и в срокове“.</w:t>
            </w:r>
          </w:p>
          <w:p w:rsidR="00DC7AD7" w:rsidRPr="002C085D" w:rsidRDefault="00DC7AD7" w:rsidP="002D45D5">
            <w:pPr>
              <w:spacing w:after="60" w:line="240" w:lineRule="auto"/>
              <w:jc w:val="both"/>
              <w:rPr>
                <w:rFonts w:ascii="Times New Roman" w:eastAsia="Times New Roman" w:hAnsi="Times New Roman" w:cs="Times New Roman"/>
                <w:b/>
                <w:sz w:val="20"/>
                <w:szCs w:val="20"/>
              </w:rPr>
            </w:pPr>
            <w:r w:rsidRPr="005E62CC">
              <w:rPr>
                <w:rFonts w:ascii="Times New Roman" w:eastAsia="Times New Roman" w:hAnsi="Times New Roman" w:cs="Times New Roman"/>
                <w:sz w:val="20"/>
                <w:szCs w:val="20"/>
                <w:u w:val="single"/>
              </w:rPr>
              <w:t>Мотиви:</w:t>
            </w:r>
            <w:r w:rsidRPr="00893A7D">
              <w:rPr>
                <w:rFonts w:ascii="Times New Roman" w:eastAsia="Times New Roman" w:hAnsi="Times New Roman" w:cs="Times New Roman"/>
                <w:sz w:val="20"/>
                <w:szCs w:val="20"/>
              </w:rPr>
              <w:t xml:space="preserve"> Предложението е в съответствие с практиката, установена съгласно чл. 55 от ЗДБРБ за 2023 г. и цели трайното определяне, с постановлението за изпълнението на държавния бюджет на Република България за 2024 г. не само на механизма, но и на сроковете, в които общините да могат да внасят съответните предложения за трансформиране на целевата субсидия за капиталови разходи в трансфер за други целеви разходи. </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3.2. Не се приема</w:t>
            </w:r>
          </w:p>
        </w:tc>
        <w:tc>
          <w:tcPr>
            <w:tcW w:w="1617" w:type="pct"/>
            <w:shd w:val="clear" w:color="auto" w:fill="auto"/>
          </w:tcPr>
          <w:p w:rsidR="00DC7AD7" w:rsidRPr="005E62CC" w:rsidRDefault="00DC7AD7" w:rsidP="00DC7AD7">
            <w:pPr>
              <w:spacing w:after="120" w:line="240" w:lineRule="auto"/>
              <w:jc w:val="both"/>
              <w:rPr>
                <w:rFonts w:ascii="Times New Roman" w:eastAsia="Times New Roman" w:hAnsi="Times New Roman" w:cs="Times New Roman"/>
                <w:sz w:val="20"/>
                <w:szCs w:val="20"/>
              </w:rPr>
            </w:pPr>
            <w:r w:rsidRPr="005E62CC">
              <w:rPr>
                <w:rFonts w:ascii="Times New Roman" w:eastAsia="Times New Roman" w:hAnsi="Times New Roman" w:cs="Times New Roman"/>
                <w:sz w:val="20"/>
                <w:szCs w:val="20"/>
              </w:rPr>
              <w:t>С мотивите по т. 3.1.</w:t>
            </w:r>
          </w:p>
        </w:tc>
      </w:tr>
      <w:tr w:rsidR="00DC7AD7" w:rsidRPr="00F62685" w:rsidTr="004F2266">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893A7D" w:rsidRDefault="00DC7AD7" w:rsidP="00097BFC">
            <w:pPr>
              <w:spacing w:after="60" w:line="240" w:lineRule="auto"/>
              <w:jc w:val="both"/>
              <w:rPr>
                <w:rFonts w:ascii="Times New Roman" w:eastAsia="Times New Roman" w:hAnsi="Times New Roman" w:cs="Times New Roman"/>
                <w:sz w:val="20"/>
                <w:szCs w:val="20"/>
              </w:rPr>
            </w:pPr>
            <w:r w:rsidRPr="005E62CC">
              <w:rPr>
                <w:rFonts w:ascii="Times New Roman" w:eastAsia="Times New Roman" w:hAnsi="Times New Roman" w:cs="Times New Roman"/>
                <w:b/>
                <w:sz w:val="20"/>
                <w:szCs w:val="20"/>
              </w:rPr>
              <w:t>3.3.</w:t>
            </w:r>
            <w:r w:rsidRPr="00893A7D">
              <w:rPr>
                <w:rFonts w:ascii="Times New Roman" w:eastAsia="Times New Roman" w:hAnsi="Times New Roman" w:cs="Times New Roman"/>
                <w:sz w:val="20"/>
                <w:szCs w:val="20"/>
              </w:rPr>
              <w:t xml:space="preserve"> В чл. 87 и в чл. 90 думите „е сключен договор с изпълнител“ се заменят с „е обявена процедура по чл. 18, ал. 1 от Закона за обществените поръчки и тя не е прекратена, и/или изпълнението на дейностите и разплащанията за обектите не са приключили“.</w:t>
            </w:r>
          </w:p>
          <w:p w:rsidR="00DC7AD7" w:rsidRPr="002C085D" w:rsidRDefault="00DC7AD7" w:rsidP="00097BFC">
            <w:pPr>
              <w:spacing w:after="60" w:line="240" w:lineRule="auto"/>
              <w:jc w:val="both"/>
              <w:rPr>
                <w:rFonts w:ascii="Times New Roman" w:eastAsia="Times New Roman" w:hAnsi="Times New Roman" w:cs="Times New Roman"/>
                <w:b/>
                <w:sz w:val="20"/>
                <w:szCs w:val="20"/>
              </w:rPr>
            </w:pPr>
            <w:r w:rsidRPr="00893A7D">
              <w:rPr>
                <w:rFonts w:ascii="Times New Roman" w:eastAsia="Times New Roman" w:hAnsi="Times New Roman" w:cs="Times New Roman"/>
                <w:sz w:val="20"/>
                <w:szCs w:val="20"/>
              </w:rPr>
              <w:lastRenderedPageBreak/>
              <w:t>Мотиви: Предложението е редакционно и цели разходване на средствата, за целта за която са отпуснати, като отчита факта, че в случаите на обявена обществена поръчка е възможно, поради съдебно оспорване на конкретна процедура по ЗОП, към предложената с проекта дата – 31.12.2023 г. да не е сключен договор.</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3.3. Не се приема</w:t>
            </w:r>
          </w:p>
        </w:tc>
        <w:tc>
          <w:tcPr>
            <w:tcW w:w="1617" w:type="pct"/>
            <w:shd w:val="clear" w:color="auto" w:fill="auto"/>
          </w:tcPr>
          <w:p w:rsidR="00DC7AD7" w:rsidRPr="002C085D" w:rsidRDefault="00DC7AD7" w:rsidP="00DC7AD7">
            <w:pPr>
              <w:spacing w:after="120" w:line="240" w:lineRule="auto"/>
              <w:jc w:val="both"/>
              <w:rPr>
                <w:rFonts w:ascii="Times New Roman" w:eastAsia="Times New Roman" w:hAnsi="Times New Roman" w:cs="Times New Roman"/>
                <w:b/>
                <w:sz w:val="20"/>
                <w:szCs w:val="20"/>
              </w:rPr>
            </w:pPr>
            <w:r w:rsidRPr="005E62CC">
              <w:rPr>
                <w:rFonts w:ascii="Times New Roman" w:eastAsia="Times New Roman" w:hAnsi="Times New Roman" w:cs="Times New Roman"/>
                <w:sz w:val="20"/>
                <w:szCs w:val="20"/>
              </w:rPr>
              <w:t>С мотивите по т. 3.1.</w:t>
            </w:r>
          </w:p>
        </w:tc>
      </w:tr>
      <w:tr w:rsidR="00DC7AD7" w:rsidRPr="00F62685" w:rsidTr="004F2266">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893A7D" w:rsidRDefault="00DC7AD7" w:rsidP="00097BFC">
            <w:pPr>
              <w:spacing w:after="60" w:line="240" w:lineRule="auto"/>
              <w:jc w:val="both"/>
              <w:rPr>
                <w:rFonts w:ascii="Times New Roman" w:eastAsia="Times New Roman" w:hAnsi="Times New Roman" w:cs="Times New Roman"/>
                <w:sz w:val="20"/>
                <w:szCs w:val="20"/>
              </w:rPr>
            </w:pPr>
            <w:r w:rsidRPr="002C085D">
              <w:rPr>
                <w:rFonts w:ascii="Times New Roman" w:eastAsia="Times New Roman" w:hAnsi="Times New Roman" w:cs="Times New Roman"/>
                <w:b/>
                <w:sz w:val="20"/>
                <w:szCs w:val="20"/>
              </w:rPr>
              <w:t>3.4.</w:t>
            </w:r>
            <w:r w:rsidRPr="00893A7D">
              <w:rPr>
                <w:rFonts w:ascii="Times New Roman" w:eastAsia="Times New Roman" w:hAnsi="Times New Roman" w:cs="Times New Roman"/>
                <w:sz w:val="20"/>
                <w:szCs w:val="20"/>
              </w:rPr>
              <w:t xml:space="preserve"> В чл. 91, текстът става ал. 1 и се добавя нова ал. 2 със следното съдържание: </w:t>
            </w:r>
          </w:p>
          <w:p w:rsidR="00DC7AD7" w:rsidRPr="00893A7D" w:rsidRDefault="00DC7AD7" w:rsidP="00097BFC">
            <w:pPr>
              <w:spacing w:after="60" w:line="240" w:lineRule="auto"/>
              <w:jc w:val="both"/>
              <w:rPr>
                <w:rFonts w:ascii="Times New Roman" w:eastAsia="Times New Roman" w:hAnsi="Times New Roman" w:cs="Times New Roman"/>
                <w:sz w:val="20"/>
                <w:szCs w:val="20"/>
              </w:rPr>
            </w:pPr>
            <w:r w:rsidRPr="00893A7D">
              <w:rPr>
                <w:rFonts w:ascii="Times New Roman" w:eastAsia="Times New Roman" w:hAnsi="Times New Roman" w:cs="Times New Roman"/>
                <w:sz w:val="20"/>
                <w:szCs w:val="20"/>
              </w:rPr>
              <w:t xml:space="preserve">(2) Неусвоените към 31 декември 2023 г. средства по бюджетите на общините от трансфери по чл. 52, ал. 1, т. 1, буква „а“ от Закона за публичните финанси, постъпили през предходни години, могат да се разходват по решение на общинския съвет за делегираните от държавата дейности във всички функции, в т.ч. за капиталови разходи, ако това не противоречи на условията, определени в нормативния акт, с който са одобрени.“ </w:t>
            </w:r>
          </w:p>
          <w:p w:rsidR="00DC7AD7" w:rsidRPr="0034738F" w:rsidRDefault="00DC7AD7" w:rsidP="00097BFC">
            <w:pPr>
              <w:spacing w:after="60" w:line="240" w:lineRule="auto"/>
              <w:jc w:val="both"/>
              <w:rPr>
                <w:rFonts w:ascii="Times New Roman" w:eastAsia="Times New Roman" w:hAnsi="Times New Roman" w:cs="Times New Roman"/>
                <w:b/>
                <w:sz w:val="20"/>
                <w:szCs w:val="20"/>
              </w:rPr>
            </w:pPr>
            <w:r w:rsidRPr="00DB2A44">
              <w:rPr>
                <w:rFonts w:ascii="Times New Roman" w:eastAsia="Times New Roman" w:hAnsi="Times New Roman" w:cs="Times New Roman"/>
                <w:sz w:val="20"/>
                <w:szCs w:val="20"/>
                <w:u w:val="single"/>
              </w:rPr>
              <w:t>Мотиви:</w:t>
            </w:r>
            <w:r w:rsidRPr="00893A7D">
              <w:rPr>
                <w:rFonts w:ascii="Times New Roman" w:eastAsia="Times New Roman" w:hAnsi="Times New Roman" w:cs="Times New Roman"/>
                <w:sz w:val="20"/>
                <w:szCs w:val="20"/>
              </w:rPr>
              <w:t xml:space="preserve"> Предложението цели продължаване и през 2024 г. на действието на добре работещата норма на чл. 87 от ЗДБРБ за 2023 г. Подобна разпоредба ще осигури по-широки възможности за ефективно разходване по решение на общинските съвети на неусвоените преходни остатъци от предходни години в делегираните от държавата дейности, , вкл. и за капиталови разходи.</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3.4. Приема се</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Default="00DC7AD7" w:rsidP="00DC7AD7">
            <w:pPr>
              <w:spacing w:after="120" w:line="240" w:lineRule="auto"/>
              <w:jc w:val="both"/>
              <w:rPr>
                <w:rFonts w:ascii="Times New Roman" w:eastAsia="Times New Roman" w:hAnsi="Times New Roman" w:cs="Times New Roman"/>
                <w:sz w:val="20"/>
                <w:szCs w:val="20"/>
              </w:rPr>
            </w:pPr>
            <w:r w:rsidRPr="002C085D">
              <w:rPr>
                <w:rFonts w:ascii="Times New Roman" w:eastAsia="Times New Roman" w:hAnsi="Times New Roman" w:cs="Times New Roman"/>
                <w:b/>
                <w:sz w:val="20"/>
                <w:szCs w:val="20"/>
              </w:rPr>
              <w:t>3.4.</w:t>
            </w:r>
            <w:r>
              <w:rPr>
                <w:rFonts w:ascii="Times New Roman" w:eastAsia="Times New Roman" w:hAnsi="Times New Roman" w:cs="Times New Roman"/>
                <w:sz w:val="20"/>
                <w:szCs w:val="20"/>
              </w:rPr>
              <w:t xml:space="preserve"> Отразено е в проекта на ЗДБРБ за 2024 г. </w:t>
            </w:r>
          </w:p>
          <w:p w:rsidR="00DC7AD7" w:rsidRPr="0034738F" w:rsidRDefault="00DC7AD7" w:rsidP="00DC7AD7">
            <w:pPr>
              <w:spacing w:after="0" w:line="240" w:lineRule="auto"/>
              <w:jc w:val="both"/>
              <w:rPr>
                <w:rFonts w:ascii="Times New Roman" w:eastAsia="Times New Roman" w:hAnsi="Times New Roman" w:cs="Times New Roman"/>
                <w:b/>
                <w:sz w:val="20"/>
                <w:szCs w:val="20"/>
              </w:rPr>
            </w:pPr>
          </w:p>
        </w:tc>
      </w:tr>
      <w:tr w:rsidR="00DC7AD7" w:rsidRPr="00F62685" w:rsidTr="004F2266">
        <w:trPr>
          <w:trHeight w:val="64"/>
        </w:trPr>
        <w:tc>
          <w:tcPr>
            <w:tcW w:w="941" w:type="pct"/>
            <w:shd w:val="clear" w:color="auto" w:fill="auto"/>
          </w:tcPr>
          <w:p w:rsidR="00DC7AD7" w:rsidRPr="00F62685" w:rsidRDefault="00DC7AD7" w:rsidP="00DC7AD7">
            <w:pPr>
              <w:spacing w:after="0" w:line="240" w:lineRule="auto"/>
              <w:rPr>
                <w:rFonts w:ascii="Times New Roman" w:eastAsia="Times New Roman" w:hAnsi="Times New Roman" w:cs="Times New Roman"/>
                <w:b/>
                <w:sz w:val="20"/>
                <w:szCs w:val="20"/>
              </w:rPr>
            </w:pPr>
          </w:p>
        </w:tc>
        <w:tc>
          <w:tcPr>
            <w:tcW w:w="1868" w:type="pct"/>
            <w:shd w:val="clear" w:color="auto" w:fill="auto"/>
          </w:tcPr>
          <w:p w:rsidR="00DC7AD7" w:rsidRPr="00893A7D" w:rsidRDefault="00DC7AD7" w:rsidP="00097BFC">
            <w:pPr>
              <w:spacing w:after="60" w:line="240" w:lineRule="auto"/>
              <w:jc w:val="both"/>
              <w:rPr>
                <w:rFonts w:ascii="Times New Roman" w:eastAsia="Times New Roman" w:hAnsi="Times New Roman" w:cs="Times New Roman"/>
                <w:sz w:val="20"/>
                <w:szCs w:val="20"/>
              </w:rPr>
            </w:pPr>
            <w:r w:rsidRPr="0034738F">
              <w:rPr>
                <w:rFonts w:ascii="Times New Roman" w:eastAsia="Times New Roman" w:hAnsi="Times New Roman" w:cs="Times New Roman"/>
                <w:b/>
                <w:sz w:val="20"/>
                <w:szCs w:val="20"/>
              </w:rPr>
              <w:t>3.5</w:t>
            </w:r>
            <w:r w:rsidRPr="00893A7D">
              <w:rPr>
                <w:rFonts w:ascii="Times New Roman" w:eastAsia="Times New Roman" w:hAnsi="Times New Roman" w:cs="Times New Roman"/>
                <w:sz w:val="20"/>
                <w:szCs w:val="20"/>
              </w:rPr>
              <w:t>. Предлагаме чл. 93 да отпадне.</w:t>
            </w:r>
          </w:p>
          <w:p w:rsidR="00DC7AD7" w:rsidRPr="00C83828" w:rsidRDefault="00DC7AD7" w:rsidP="00097BFC">
            <w:pPr>
              <w:spacing w:after="60" w:line="240" w:lineRule="auto"/>
              <w:jc w:val="both"/>
              <w:rPr>
                <w:rFonts w:ascii="Times New Roman" w:eastAsia="Times New Roman" w:hAnsi="Times New Roman" w:cs="Times New Roman"/>
                <w:b/>
                <w:sz w:val="20"/>
                <w:szCs w:val="20"/>
              </w:rPr>
            </w:pPr>
            <w:r w:rsidRPr="0034738F">
              <w:rPr>
                <w:rFonts w:ascii="Times New Roman" w:eastAsia="Times New Roman" w:hAnsi="Times New Roman" w:cs="Times New Roman"/>
                <w:sz w:val="20"/>
                <w:szCs w:val="20"/>
                <w:u w:val="single"/>
              </w:rPr>
              <w:t>Мотиви</w:t>
            </w:r>
            <w:r w:rsidRPr="00893A7D">
              <w:rPr>
                <w:rFonts w:ascii="Times New Roman" w:eastAsia="Times New Roman" w:hAnsi="Times New Roman" w:cs="Times New Roman"/>
                <w:sz w:val="20"/>
                <w:szCs w:val="20"/>
              </w:rPr>
              <w:t>: Разпоредбите на Глава осма „а“ от Закона за публичните финанси подробно определят условията за общините с финансови затруднения и не предвиждат въвеждането на допълнителни условия с ежегодния закон за държавния бюджет. В тази връзка считаме за нецелесъобразно определянето на нова група общини с финансови затруднения, т.е. общини, за които при изпълнение на проекти, финансирани със средства от Европейския съюз, наличните към края на 2023 г. просрочени задължения към доставчици в отчетна група сметки за средства от Европейския съюз надвишават 50 на сто от отчетените към края на годината разходи по бюджета на общината, тъй като подобен фискален показател не е установен в ЗПФ. Разплащанията по европейски проекти зависят от сроковете за реализиране на междинните и окончателните плащания и евентуално забавяне от страна на управляващите органи в края на годината би поставило неоснователно общините в категорията „общини с финансови затруднения“</w:t>
            </w:r>
          </w:p>
        </w:tc>
        <w:tc>
          <w:tcPr>
            <w:tcW w:w="574" w:type="pct"/>
            <w:shd w:val="clear" w:color="auto" w:fill="auto"/>
          </w:tcPr>
          <w:p w:rsidR="00DC7AD7" w:rsidRPr="00657A5B" w:rsidRDefault="00DC7AD7" w:rsidP="00DC7AD7">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t>3.5. Не се приема</w:t>
            </w:r>
          </w:p>
          <w:p w:rsidR="00DC7AD7" w:rsidRPr="00657A5B" w:rsidRDefault="00DC7AD7" w:rsidP="00DC7AD7">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DC7AD7" w:rsidRPr="00C83828" w:rsidRDefault="00DC7AD7" w:rsidP="00DC7AD7">
            <w:pPr>
              <w:spacing w:after="0" w:line="240" w:lineRule="auto"/>
              <w:jc w:val="both"/>
              <w:rPr>
                <w:rFonts w:ascii="Times New Roman" w:eastAsia="Times New Roman" w:hAnsi="Times New Roman" w:cs="Times New Roman"/>
                <w:b/>
                <w:sz w:val="20"/>
                <w:szCs w:val="20"/>
              </w:rPr>
            </w:pPr>
            <w:r w:rsidRPr="0034738F">
              <w:rPr>
                <w:rFonts w:ascii="Times New Roman" w:eastAsia="Times New Roman" w:hAnsi="Times New Roman" w:cs="Times New Roman"/>
                <w:b/>
                <w:sz w:val="20"/>
                <w:szCs w:val="20"/>
              </w:rPr>
              <w:t>3.5.</w:t>
            </w:r>
            <w:r>
              <w:rPr>
                <w:rFonts w:ascii="Times New Roman" w:eastAsia="Times New Roman" w:hAnsi="Times New Roman" w:cs="Times New Roman"/>
                <w:sz w:val="20"/>
                <w:szCs w:val="20"/>
              </w:rPr>
              <w:t xml:space="preserve"> Разпоредбата е с цел недопускане на просрочени задължения на общини в СЕС</w:t>
            </w:r>
          </w:p>
        </w:tc>
      </w:tr>
      <w:tr w:rsidR="004F6EAB" w:rsidRPr="00F62685" w:rsidTr="004F2266">
        <w:trPr>
          <w:trHeight w:val="64"/>
        </w:trPr>
        <w:tc>
          <w:tcPr>
            <w:tcW w:w="941" w:type="pct"/>
            <w:shd w:val="clear" w:color="auto" w:fill="auto"/>
          </w:tcPr>
          <w:p w:rsidR="004F6EAB" w:rsidRPr="00F62685" w:rsidRDefault="004F6EAB" w:rsidP="004F6EAB">
            <w:pPr>
              <w:spacing w:after="0" w:line="240" w:lineRule="auto"/>
              <w:rPr>
                <w:rFonts w:ascii="Times New Roman" w:eastAsia="Times New Roman" w:hAnsi="Times New Roman" w:cs="Times New Roman"/>
                <w:b/>
                <w:sz w:val="20"/>
                <w:szCs w:val="20"/>
              </w:rPr>
            </w:pPr>
          </w:p>
        </w:tc>
        <w:tc>
          <w:tcPr>
            <w:tcW w:w="1868" w:type="pct"/>
            <w:shd w:val="clear" w:color="auto" w:fill="auto"/>
          </w:tcPr>
          <w:p w:rsidR="004F6EAB" w:rsidRPr="00893A7D" w:rsidRDefault="004F6EAB" w:rsidP="00097BFC">
            <w:pPr>
              <w:spacing w:after="60" w:line="240" w:lineRule="auto"/>
              <w:jc w:val="both"/>
              <w:rPr>
                <w:rFonts w:ascii="Times New Roman" w:eastAsia="Times New Roman" w:hAnsi="Times New Roman" w:cs="Times New Roman"/>
                <w:sz w:val="20"/>
                <w:szCs w:val="20"/>
              </w:rPr>
            </w:pPr>
            <w:r w:rsidRPr="00C83828">
              <w:rPr>
                <w:rFonts w:ascii="Times New Roman" w:eastAsia="Times New Roman" w:hAnsi="Times New Roman" w:cs="Times New Roman"/>
                <w:b/>
                <w:sz w:val="20"/>
                <w:szCs w:val="20"/>
              </w:rPr>
              <w:t>3.6.</w:t>
            </w:r>
            <w:r w:rsidRPr="00893A7D">
              <w:rPr>
                <w:rFonts w:ascii="Times New Roman" w:eastAsia="Times New Roman" w:hAnsi="Times New Roman" w:cs="Times New Roman"/>
                <w:sz w:val="20"/>
                <w:szCs w:val="20"/>
              </w:rPr>
              <w:t xml:space="preserve"> Разпоредбата на чл. 95 да добие следната редакция: </w:t>
            </w:r>
          </w:p>
          <w:p w:rsidR="004F6EAB" w:rsidRPr="00893A7D" w:rsidRDefault="004F6EAB" w:rsidP="00097BFC">
            <w:pPr>
              <w:spacing w:after="60" w:line="240" w:lineRule="auto"/>
              <w:jc w:val="both"/>
              <w:rPr>
                <w:rFonts w:ascii="Times New Roman" w:eastAsia="Times New Roman" w:hAnsi="Times New Roman" w:cs="Times New Roman"/>
                <w:sz w:val="20"/>
                <w:szCs w:val="20"/>
              </w:rPr>
            </w:pPr>
            <w:r w:rsidRPr="00893A7D">
              <w:rPr>
                <w:rFonts w:ascii="Times New Roman" w:eastAsia="Times New Roman" w:hAnsi="Times New Roman" w:cs="Times New Roman"/>
                <w:sz w:val="20"/>
                <w:szCs w:val="20"/>
              </w:rPr>
              <w:lastRenderedPageBreak/>
              <w:t>„Чл. 95. По решение на общинските съвети може да се определи, че разходите за издръжка в делегираните от държавата дейности в сферата на образованието, социалните услуги и културата, финансирани по стандарти и нормативи съгласно решение на Министерския съвет, могат да бъдат в размер на не по-малко от 11 на сто от разходите в съответната функция.“</w:t>
            </w:r>
          </w:p>
          <w:p w:rsidR="004F6EAB" w:rsidRPr="00C83828" w:rsidRDefault="004F6EAB" w:rsidP="00097BFC">
            <w:pPr>
              <w:spacing w:after="60" w:line="240" w:lineRule="auto"/>
              <w:jc w:val="both"/>
              <w:rPr>
                <w:rFonts w:ascii="Times New Roman" w:eastAsia="Times New Roman" w:hAnsi="Times New Roman" w:cs="Times New Roman"/>
                <w:b/>
                <w:sz w:val="20"/>
                <w:szCs w:val="20"/>
              </w:rPr>
            </w:pPr>
            <w:r w:rsidRPr="00C83828">
              <w:rPr>
                <w:rFonts w:ascii="Times New Roman" w:eastAsia="Times New Roman" w:hAnsi="Times New Roman" w:cs="Times New Roman"/>
                <w:sz w:val="20"/>
                <w:szCs w:val="20"/>
                <w:u w:val="single"/>
              </w:rPr>
              <w:t>Мотиви</w:t>
            </w:r>
            <w:r w:rsidRPr="00893A7D">
              <w:rPr>
                <w:rFonts w:ascii="Times New Roman" w:eastAsia="Times New Roman" w:hAnsi="Times New Roman" w:cs="Times New Roman"/>
                <w:sz w:val="20"/>
                <w:szCs w:val="20"/>
              </w:rPr>
              <w:t>: Предложението е редакционно и цели спазване на конституционно установеното правомощие на общинските съвети да приемат самостоятелни бюджети, извън републиканския. Следва да бъде отчитано, че стандартите за финансиране на делегираните от държавата дейности служат за определянето на общата субсидия за делегираните от държавата дейности по общини, като с тях или с друг нормативен акт не се въвежда задължително процентно разпределение на видове разходи, които общините могат да финансират.</w:t>
            </w:r>
          </w:p>
        </w:tc>
        <w:tc>
          <w:tcPr>
            <w:tcW w:w="574" w:type="pct"/>
            <w:shd w:val="clear" w:color="auto" w:fill="auto"/>
          </w:tcPr>
          <w:p w:rsidR="004F6EAB" w:rsidRPr="00657A5B" w:rsidRDefault="004F6EAB" w:rsidP="004F6EAB">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3.6. Приема се</w:t>
            </w:r>
          </w:p>
        </w:tc>
        <w:tc>
          <w:tcPr>
            <w:tcW w:w="1617" w:type="pct"/>
            <w:shd w:val="clear" w:color="auto" w:fill="auto"/>
          </w:tcPr>
          <w:p w:rsidR="004F6EAB" w:rsidRPr="00C83828" w:rsidRDefault="004F6EAB" w:rsidP="004F6EAB">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Отразено е в проекта на ЗДБРБ за 2024 г.</w:t>
            </w:r>
          </w:p>
        </w:tc>
      </w:tr>
      <w:tr w:rsidR="004F6EAB" w:rsidRPr="00F62685" w:rsidTr="006D3580">
        <w:trPr>
          <w:trHeight w:val="64"/>
        </w:trPr>
        <w:tc>
          <w:tcPr>
            <w:tcW w:w="941" w:type="pct"/>
            <w:shd w:val="clear" w:color="auto" w:fill="auto"/>
          </w:tcPr>
          <w:p w:rsidR="004F6EAB" w:rsidRPr="00F62685" w:rsidRDefault="004F6EAB" w:rsidP="004F6EAB">
            <w:pPr>
              <w:spacing w:after="0" w:line="240" w:lineRule="auto"/>
              <w:rPr>
                <w:rFonts w:ascii="Times New Roman" w:eastAsia="Times New Roman" w:hAnsi="Times New Roman" w:cs="Times New Roman"/>
                <w:b/>
                <w:sz w:val="20"/>
                <w:szCs w:val="20"/>
              </w:rPr>
            </w:pPr>
          </w:p>
        </w:tc>
        <w:tc>
          <w:tcPr>
            <w:tcW w:w="1868" w:type="pct"/>
            <w:shd w:val="clear" w:color="auto" w:fill="auto"/>
          </w:tcPr>
          <w:p w:rsidR="004F6EAB" w:rsidRPr="00893A7D" w:rsidRDefault="004F6EAB" w:rsidP="00097BFC">
            <w:pPr>
              <w:spacing w:after="60" w:line="240" w:lineRule="auto"/>
              <w:jc w:val="both"/>
              <w:rPr>
                <w:rFonts w:ascii="Times New Roman" w:eastAsia="Times New Roman" w:hAnsi="Times New Roman" w:cs="Times New Roman"/>
                <w:sz w:val="20"/>
                <w:szCs w:val="20"/>
              </w:rPr>
            </w:pPr>
            <w:r w:rsidRPr="00C83828">
              <w:rPr>
                <w:rFonts w:ascii="Times New Roman" w:eastAsia="Times New Roman" w:hAnsi="Times New Roman" w:cs="Times New Roman"/>
                <w:b/>
                <w:sz w:val="20"/>
                <w:szCs w:val="20"/>
              </w:rPr>
              <w:t>3.7.</w:t>
            </w:r>
            <w:r w:rsidRPr="00893A7D">
              <w:rPr>
                <w:rFonts w:ascii="Times New Roman" w:eastAsia="Times New Roman" w:hAnsi="Times New Roman" w:cs="Times New Roman"/>
                <w:sz w:val="20"/>
                <w:szCs w:val="20"/>
              </w:rPr>
              <w:t xml:space="preserve"> Предлагаме чл. 99, ал. 1 да добие следната редакция: </w:t>
            </w:r>
          </w:p>
          <w:p w:rsidR="004F6EAB" w:rsidRPr="00893A7D" w:rsidRDefault="004F6EAB" w:rsidP="00097BFC">
            <w:pPr>
              <w:spacing w:after="60" w:line="240" w:lineRule="auto"/>
              <w:jc w:val="both"/>
              <w:rPr>
                <w:rFonts w:ascii="Times New Roman" w:eastAsia="Times New Roman" w:hAnsi="Times New Roman" w:cs="Times New Roman"/>
                <w:sz w:val="20"/>
                <w:szCs w:val="20"/>
              </w:rPr>
            </w:pPr>
            <w:r w:rsidRPr="00893A7D">
              <w:rPr>
                <w:rFonts w:ascii="Times New Roman" w:eastAsia="Times New Roman" w:hAnsi="Times New Roman" w:cs="Times New Roman"/>
                <w:sz w:val="20"/>
                <w:szCs w:val="20"/>
              </w:rPr>
              <w:t>„Чл. 99. (1) За унифициране на счетоводните процеси, по предложение на кмета на общината може да бъде въведена Интегрирана финансово-информационна система за общините съгласно одобрен от министъра на финансите план за нейното внедряване. Кметовете на общини, включени в плана за 2024 г., оказват съдействие на изпълнителя на проекта за въвеждането на системата.“</w:t>
            </w:r>
          </w:p>
          <w:p w:rsidR="004F6EAB" w:rsidRPr="004F2266" w:rsidRDefault="004F6EAB" w:rsidP="00097BFC">
            <w:pPr>
              <w:spacing w:after="60" w:line="240" w:lineRule="auto"/>
              <w:jc w:val="both"/>
              <w:rPr>
                <w:rFonts w:ascii="Times New Roman" w:eastAsia="Times New Roman" w:hAnsi="Times New Roman" w:cs="Times New Roman"/>
                <w:b/>
                <w:sz w:val="20"/>
                <w:szCs w:val="20"/>
              </w:rPr>
            </w:pPr>
            <w:r w:rsidRPr="00906DE4">
              <w:rPr>
                <w:rFonts w:ascii="Times New Roman" w:eastAsia="Times New Roman" w:hAnsi="Times New Roman" w:cs="Times New Roman"/>
                <w:sz w:val="20"/>
                <w:szCs w:val="20"/>
                <w:u w:val="single"/>
              </w:rPr>
              <w:t>Мотиви:</w:t>
            </w:r>
            <w:r w:rsidRPr="00893A7D">
              <w:rPr>
                <w:rFonts w:ascii="Times New Roman" w:eastAsia="Times New Roman" w:hAnsi="Times New Roman" w:cs="Times New Roman"/>
                <w:sz w:val="20"/>
                <w:szCs w:val="20"/>
              </w:rPr>
              <w:t xml:space="preserve"> Съгласно изискванията на Закона за публичните финанси и Закона за счетоводството и указанията на Министерство на финансите, всяка една община има единна счетоводна система, която се използва и е интегрирана във всички разпоредители от по-ниска степен. С тези системи общините консолидират в своите отчети отчетите на значително по-висок брой второстепенни и от по-ниска степен разпоредители с бюджет, за разлика от останалите първостепенни разпоредители. Отчетите на общините също така подлежат и на задължителна заверка от Сметна палата и се представят в Министерство на финансите, което намалява риска от пропуски и невярно счетоводно отчитане. Също така, в повечето общини финансово – счетоводните системи осигуряват обмен на данни и информация с други информационни системи, използвани на местно ниво – деловодни системи, системи за управление на човешките ресурси и т.н. Задължителното преминаване към нов софтуер във всички случаи е свързано с наличието на лицензи и за всички второстепенни и от по-ниска степен разпоредители, с технологично време за мигриране на данните, за обучения на счетоводните екипи, за изчистване на </w:t>
            </w:r>
            <w:r w:rsidRPr="00893A7D">
              <w:rPr>
                <w:rFonts w:ascii="Times New Roman" w:eastAsia="Times New Roman" w:hAnsi="Times New Roman" w:cs="Times New Roman"/>
                <w:sz w:val="20"/>
                <w:szCs w:val="20"/>
              </w:rPr>
              <w:lastRenderedPageBreak/>
              <w:t>грешки и др. В тази връзка и поради липсата на трайна разпоредба, например в Закона за счетоводството за единно прилагане на национално ниво на цитираната интегрирана финансово-информационна система, предлагаме създаването на възможност за заявяване от страна на общините, които имат потребност и готовност за нейното внедряване.</w:t>
            </w:r>
          </w:p>
        </w:tc>
        <w:tc>
          <w:tcPr>
            <w:tcW w:w="574" w:type="pct"/>
            <w:shd w:val="clear" w:color="auto" w:fill="auto"/>
          </w:tcPr>
          <w:p w:rsidR="004F6EAB" w:rsidRPr="00657A5B" w:rsidRDefault="004F6EAB" w:rsidP="004F6EAB">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rPr>
              <w:lastRenderedPageBreak/>
              <w:t>3.7. Не се приема</w:t>
            </w:r>
          </w:p>
          <w:p w:rsidR="004F6EAB" w:rsidRPr="00657A5B" w:rsidRDefault="004F6EAB" w:rsidP="004F6EAB">
            <w:pPr>
              <w:spacing w:after="0" w:line="240" w:lineRule="auto"/>
              <w:jc w:val="center"/>
              <w:rPr>
                <w:rFonts w:ascii="Times New Roman" w:eastAsia="Times New Roman" w:hAnsi="Times New Roman" w:cs="Times New Roman"/>
                <w:b/>
                <w:sz w:val="20"/>
                <w:szCs w:val="20"/>
                <w:lang w:val="en-US"/>
              </w:rPr>
            </w:pPr>
          </w:p>
        </w:tc>
        <w:tc>
          <w:tcPr>
            <w:tcW w:w="1617" w:type="pct"/>
            <w:shd w:val="clear" w:color="auto" w:fill="auto"/>
          </w:tcPr>
          <w:p w:rsidR="004F6EAB" w:rsidRDefault="004F6EAB" w:rsidP="004F6EAB">
            <w:pPr>
              <w:spacing w:after="0" w:line="240" w:lineRule="auto"/>
              <w:jc w:val="both"/>
              <w:rPr>
                <w:rFonts w:ascii="Times New Roman" w:eastAsia="Times New Roman" w:hAnsi="Times New Roman" w:cs="Times New Roman"/>
                <w:sz w:val="20"/>
                <w:szCs w:val="20"/>
              </w:rPr>
            </w:pPr>
            <w:r w:rsidRPr="00C83828">
              <w:rPr>
                <w:rFonts w:ascii="Times New Roman" w:eastAsia="Times New Roman" w:hAnsi="Times New Roman" w:cs="Times New Roman"/>
                <w:b/>
                <w:sz w:val="20"/>
                <w:szCs w:val="20"/>
              </w:rPr>
              <w:t>3.7.</w:t>
            </w:r>
            <w:r w:rsidRPr="00A74642">
              <w:rPr>
                <w:rFonts w:ascii="Times New Roman" w:eastAsia="Times New Roman" w:hAnsi="Times New Roman" w:cs="Times New Roman"/>
                <w:sz w:val="20"/>
                <w:szCs w:val="20"/>
                <w:lang w:val="ru-RU"/>
              </w:rPr>
              <w:t xml:space="preserve"> </w:t>
            </w:r>
            <w:r>
              <w:rPr>
                <w:rFonts w:ascii="Times New Roman" w:eastAsia="Times New Roman" w:hAnsi="Times New Roman" w:cs="Times New Roman"/>
                <w:sz w:val="20"/>
                <w:szCs w:val="20"/>
              </w:rPr>
              <w:t>Унифицирането на счетоводните процеси в общините е гаранция за подобряване на финансовата дисциплина в общините</w:t>
            </w:r>
            <w:r w:rsidR="004A5F34">
              <w:rPr>
                <w:rFonts w:ascii="Times New Roman" w:eastAsia="Times New Roman" w:hAnsi="Times New Roman" w:cs="Times New Roman"/>
                <w:sz w:val="20"/>
                <w:szCs w:val="20"/>
              </w:rPr>
              <w:t>.</w:t>
            </w:r>
          </w:p>
          <w:p w:rsidR="004F6EAB" w:rsidRPr="00C83828" w:rsidRDefault="004F6EAB" w:rsidP="004F6EAB">
            <w:pPr>
              <w:spacing w:after="0" w:line="240" w:lineRule="auto"/>
              <w:jc w:val="both"/>
              <w:rPr>
                <w:rFonts w:ascii="Times New Roman" w:eastAsia="Times New Roman" w:hAnsi="Times New Roman" w:cs="Times New Roman"/>
                <w:b/>
                <w:bCs/>
                <w:sz w:val="20"/>
                <w:szCs w:val="20"/>
              </w:rPr>
            </w:pPr>
          </w:p>
        </w:tc>
      </w:tr>
      <w:tr w:rsidR="004F6EAB" w:rsidRPr="00F62685" w:rsidTr="004F2266">
        <w:trPr>
          <w:trHeight w:val="64"/>
        </w:trPr>
        <w:tc>
          <w:tcPr>
            <w:tcW w:w="941" w:type="pct"/>
            <w:shd w:val="clear" w:color="auto" w:fill="auto"/>
          </w:tcPr>
          <w:p w:rsidR="004F6EAB" w:rsidRPr="00F62685" w:rsidRDefault="004F6EAB" w:rsidP="004F6EAB">
            <w:pPr>
              <w:spacing w:after="0" w:line="240" w:lineRule="auto"/>
              <w:rPr>
                <w:rFonts w:ascii="Times New Roman" w:eastAsia="Times New Roman" w:hAnsi="Times New Roman" w:cs="Times New Roman"/>
                <w:b/>
                <w:sz w:val="20"/>
                <w:szCs w:val="20"/>
              </w:rPr>
            </w:pPr>
          </w:p>
        </w:tc>
        <w:tc>
          <w:tcPr>
            <w:tcW w:w="1868" w:type="pct"/>
            <w:shd w:val="clear" w:color="auto" w:fill="auto"/>
          </w:tcPr>
          <w:p w:rsidR="004F6EAB" w:rsidRPr="00893A7D" w:rsidRDefault="004F6EAB" w:rsidP="00097BFC">
            <w:pPr>
              <w:spacing w:after="60" w:line="240" w:lineRule="auto"/>
              <w:jc w:val="both"/>
              <w:rPr>
                <w:rFonts w:ascii="Times New Roman" w:eastAsia="Times New Roman" w:hAnsi="Times New Roman" w:cs="Times New Roman"/>
                <w:sz w:val="20"/>
                <w:szCs w:val="20"/>
              </w:rPr>
            </w:pPr>
            <w:r w:rsidRPr="004F2266">
              <w:rPr>
                <w:rFonts w:ascii="Times New Roman" w:eastAsia="Times New Roman" w:hAnsi="Times New Roman" w:cs="Times New Roman"/>
                <w:b/>
                <w:sz w:val="20"/>
                <w:szCs w:val="20"/>
              </w:rPr>
              <w:t>3.8.</w:t>
            </w:r>
            <w:r w:rsidRPr="00893A7D">
              <w:rPr>
                <w:rFonts w:ascii="Times New Roman" w:eastAsia="Times New Roman" w:hAnsi="Times New Roman" w:cs="Times New Roman"/>
                <w:sz w:val="20"/>
                <w:szCs w:val="20"/>
              </w:rPr>
              <w:tab/>
              <w:t>В Приложението към чл. 53 „Механизъм за определяне на основните бюджетни взаимоотношения между централния бюджет и бюджетите на общините под формата на субсидии за 2024 г.“:</w:t>
            </w:r>
          </w:p>
          <w:p w:rsidR="004F6EAB" w:rsidRPr="00893A7D" w:rsidRDefault="004F6EAB" w:rsidP="00097BFC">
            <w:pPr>
              <w:spacing w:after="60" w:line="240" w:lineRule="auto"/>
              <w:jc w:val="both"/>
              <w:rPr>
                <w:rFonts w:ascii="Times New Roman" w:eastAsia="Times New Roman" w:hAnsi="Times New Roman" w:cs="Times New Roman"/>
                <w:sz w:val="20"/>
                <w:szCs w:val="20"/>
              </w:rPr>
            </w:pPr>
            <w:r w:rsidRPr="00893A7D">
              <w:rPr>
                <w:rFonts w:ascii="Times New Roman" w:eastAsia="Times New Roman" w:hAnsi="Times New Roman" w:cs="Times New Roman"/>
                <w:sz w:val="20"/>
                <w:szCs w:val="20"/>
              </w:rPr>
              <w:t>-</w:t>
            </w:r>
            <w:r w:rsidRPr="00893A7D">
              <w:rPr>
                <w:rFonts w:ascii="Times New Roman" w:eastAsia="Times New Roman" w:hAnsi="Times New Roman" w:cs="Times New Roman"/>
                <w:sz w:val="20"/>
                <w:szCs w:val="20"/>
              </w:rPr>
              <w:tab/>
              <w:t xml:space="preserve"> да се добави нов компонент към формулата за разпределение на общата изравнителна субсидия в размер на 60 млн. лв., разпределен между всички 265 общини за компенсиране ръста на минималната работна заплата през 2024 г. </w:t>
            </w:r>
          </w:p>
          <w:p w:rsidR="004F6EAB" w:rsidRPr="00F62685" w:rsidRDefault="004F6EAB" w:rsidP="00097BFC">
            <w:pPr>
              <w:spacing w:after="60" w:line="240" w:lineRule="auto"/>
              <w:jc w:val="both"/>
              <w:rPr>
                <w:rFonts w:ascii="Times New Roman" w:eastAsia="Times New Roman" w:hAnsi="Times New Roman" w:cs="Times New Roman"/>
                <w:sz w:val="20"/>
                <w:szCs w:val="20"/>
              </w:rPr>
            </w:pPr>
            <w:r w:rsidRPr="00893A7D">
              <w:rPr>
                <w:rFonts w:ascii="Times New Roman" w:eastAsia="Times New Roman" w:hAnsi="Times New Roman" w:cs="Times New Roman"/>
                <w:sz w:val="20"/>
                <w:szCs w:val="20"/>
              </w:rPr>
              <w:t>-</w:t>
            </w:r>
            <w:r w:rsidRPr="00893A7D">
              <w:rPr>
                <w:rFonts w:ascii="Times New Roman" w:eastAsia="Times New Roman" w:hAnsi="Times New Roman" w:cs="Times New Roman"/>
                <w:sz w:val="20"/>
                <w:szCs w:val="20"/>
              </w:rPr>
              <w:tab/>
              <w:t>в „С4 – размер на целевата субсидия за капиталови разходи за конкретната община“ да се поясни кои данни за население се използват (по аналогия на подробното описание на източниците на данни, с които се определя размера на ОИС по общини)</w:t>
            </w:r>
          </w:p>
        </w:tc>
        <w:tc>
          <w:tcPr>
            <w:tcW w:w="574" w:type="pct"/>
            <w:shd w:val="clear" w:color="auto" w:fill="auto"/>
          </w:tcPr>
          <w:p w:rsidR="004F6EAB" w:rsidRPr="00657A5B" w:rsidRDefault="004F6EAB" w:rsidP="004F6EAB">
            <w:pPr>
              <w:spacing w:after="0" w:line="240" w:lineRule="auto"/>
              <w:jc w:val="center"/>
              <w:rPr>
                <w:rFonts w:ascii="Times New Roman" w:eastAsia="Times New Roman" w:hAnsi="Times New Roman" w:cs="Times New Roman"/>
                <w:b/>
                <w:sz w:val="20"/>
                <w:szCs w:val="20"/>
              </w:rPr>
            </w:pPr>
            <w:r w:rsidRPr="00657A5B">
              <w:rPr>
                <w:rFonts w:ascii="Times New Roman" w:eastAsia="Times New Roman" w:hAnsi="Times New Roman" w:cs="Times New Roman"/>
                <w:b/>
                <w:sz w:val="20"/>
                <w:szCs w:val="20"/>
                <w:lang w:val="en-US"/>
              </w:rPr>
              <w:t xml:space="preserve">3.8 </w:t>
            </w:r>
            <w:r w:rsidRPr="00657A5B">
              <w:rPr>
                <w:rFonts w:ascii="Times New Roman" w:eastAsia="Times New Roman" w:hAnsi="Times New Roman" w:cs="Times New Roman"/>
                <w:b/>
                <w:sz w:val="20"/>
                <w:szCs w:val="20"/>
              </w:rPr>
              <w:t>Не се приема</w:t>
            </w:r>
          </w:p>
          <w:p w:rsidR="004F6EAB" w:rsidRPr="00657A5B" w:rsidRDefault="004F6EAB" w:rsidP="004F6EAB">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4F6EAB" w:rsidRDefault="004F6EAB" w:rsidP="004F6EAB">
            <w:pPr>
              <w:spacing w:after="0" w:line="240" w:lineRule="auto"/>
              <w:jc w:val="both"/>
              <w:rPr>
                <w:rFonts w:ascii="Times New Roman" w:eastAsia="Times New Roman" w:hAnsi="Times New Roman" w:cs="Times New Roman"/>
                <w:bCs/>
                <w:sz w:val="20"/>
                <w:szCs w:val="20"/>
              </w:rPr>
            </w:pPr>
            <w:r w:rsidRPr="00C83828">
              <w:rPr>
                <w:rFonts w:ascii="Times New Roman" w:eastAsia="Times New Roman" w:hAnsi="Times New Roman" w:cs="Times New Roman"/>
                <w:b/>
                <w:bCs/>
                <w:sz w:val="20"/>
                <w:szCs w:val="20"/>
              </w:rPr>
              <w:t>3.8.</w:t>
            </w:r>
            <w:r>
              <w:rPr>
                <w:rFonts w:ascii="Times New Roman" w:eastAsia="Times New Roman" w:hAnsi="Times New Roman" w:cs="Times New Roman"/>
                <w:bCs/>
                <w:sz w:val="20"/>
                <w:szCs w:val="20"/>
              </w:rPr>
              <w:t xml:space="preserve"> Предложението на НСОРБ за включването на този вид целеви средства за всички общини в механизма на общата изравнителна субсидия е неприемливо, тъй като противоречи на същността на субсидията, която следва да е за изравняване на фискалните различия между общините, като подпомага тези с по-слаби финансови възможности, а не всички общини.  Този принцип е в съответствие с  чл. 9, ал. 5 от Европейската харта за местно самоуправление, съгласно която следва да се установяват финансови процедури за разпределяне на средствата в защита на финансово по-слабите местни общности.</w:t>
            </w:r>
          </w:p>
          <w:p w:rsidR="004F6EAB" w:rsidRPr="00F62685" w:rsidRDefault="004F6EAB" w:rsidP="004F6EAB">
            <w:pPr>
              <w:spacing w:after="0" w:line="240" w:lineRule="auto"/>
              <w:jc w:val="both"/>
              <w:rPr>
                <w:rFonts w:ascii="Times New Roman" w:eastAsia="Times New Roman" w:hAnsi="Times New Roman" w:cs="Times New Roman"/>
                <w:sz w:val="20"/>
                <w:szCs w:val="20"/>
              </w:rPr>
            </w:pPr>
          </w:p>
        </w:tc>
      </w:tr>
      <w:tr w:rsidR="004F6EAB" w:rsidRPr="00F62685" w:rsidTr="00E9260B">
        <w:trPr>
          <w:trHeight w:val="64"/>
        </w:trPr>
        <w:tc>
          <w:tcPr>
            <w:tcW w:w="941" w:type="pct"/>
            <w:shd w:val="clear" w:color="auto" w:fill="BDD6EE" w:themeFill="accent1" w:themeFillTint="66"/>
          </w:tcPr>
          <w:p w:rsidR="004F6EAB" w:rsidRPr="00F62685" w:rsidRDefault="004F6EAB" w:rsidP="004F6EAB">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4F6EAB" w:rsidRPr="00F62685" w:rsidRDefault="004F6EAB" w:rsidP="00097BFC">
            <w:pPr>
              <w:spacing w:after="60" w:line="240" w:lineRule="auto"/>
              <w:jc w:val="both"/>
              <w:rPr>
                <w:rFonts w:ascii="Times New Roman" w:eastAsia="Times New Roman" w:hAnsi="Times New Roman" w:cs="Times New Roman"/>
                <w:sz w:val="20"/>
                <w:szCs w:val="20"/>
              </w:rPr>
            </w:pPr>
          </w:p>
        </w:tc>
        <w:tc>
          <w:tcPr>
            <w:tcW w:w="574" w:type="pct"/>
            <w:shd w:val="clear" w:color="auto" w:fill="BDD6EE" w:themeFill="accent1" w:themeFillTint="66"/>
          </w:tcPr>
          <w:p w:rsidR="004F6EAB" w:rsidRPr="00657A5B" w:rsidRDefault="004F6EAB" w:rsidP="004F6EAB">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4F6EAB" w:rsidRPr="00F62685" w:rsidRDefault="004F6EAB" w:rsidP="004F6EAB">
            <w:pPr>
              <w:spacing w:after="0" w:line="240" w:lineRule="auto"/>
              <w:jc w:val="both"/>
              <w:rPr>
                <w:rFonts w:ascii="Times New Roman" w:eastAsia="Times New Roman" w:hAnsi="Times New Roman" w:cs="Times New Roman"/>
                <w:sz w:val="20"/>
                <w:szCs w:val="20"/>
              </w:rPr>
            </w:pPr>
          </w:p>
        </w:tc>
      </w:tr>
      <w:tr w:rsidR="004F6EAB" w:rsidRPr="00F62685" w:rsidTr="00DE00BF">
        <w:trPr>
          <w:trHeight w:val="161"/>
        </w:trPr>
        <w:tc>
          <w:tcPr>
            <w:tcW w:w="941" w:type="pct"/>
            <w:shd w:val="clear" w:color="auto" w:fill="auto"/>
          </w:tcPr>
          <w:p w:rsidR="004F6EAB" w:rsidRPr="00F62685" w:rsidRDefault="004F6EAB" w:rsidP="004F6EAB">
            <w:pPr>
              <w:spacing w:before="120" w:after="120" w:line="240" w:lineRule="auto"/>
              <w:rPr>
                <w:rFonts w:ascii="Times New Roman" w:eastAsia="Times New Roman" w:hAnsi="Times New Roman" w:cs="Times New Roman"/>
                <w:b/>
                <w:sz w:val="20"/>
                <w:szCs w:val="20"/>
              </w:rPr>
            </w:pPr>
            <w:r w:rsidRPr="00F62685">
              <w:rPr>
                <w:rFonts w:ascii="Times New Roman" w:eastAsia="Times New Roman" w:hAnsi="Times New Roman" w:cs="Times New Roman"/>
                <w:b/>
                <w:sz w:val="20"/>
                <w:szCs w:val="20"/>
              </w:rPr>
              <w:t>ФИСКАЛEН СЪВЕТ</w:t>
            </w:r>
          </w:p>
        </w:tc>
        <w:tc>
          <w:tcPr>
            <w:tcW w:w="1868" w:type="pct"/>
            <w:shd w:val="clear" w:color="auto" w:fill="auto"/>
          </w:tcPr>
          <w:p w:rsidR="004F6EAB" w:rsidRPr="00F62685" w:rsidRDefault="004F6EAB" w:rsidP="00097BFC">
            <w:pPr>
              <w:spacing w:after="60" w:line="240" w:lineRule="auto"/>
              <w:jc w:val="both"/>
              <w:rPr>
                <w:rFonts w:ascii="Times New Roman" w:eastAsia="Times New Roman" w:hAnsi="Times New Roman" w:cs="Times New Roman"/>
                <w:sz w:val="20"/>
                <w:szCs w:val="20"/>
              </w:rPr>
            </w:pPr>
            <w:r w:rsidRPr="00552A3D">
              <w:rPr>
                <w:rFonts w:ascii="Times New Roman" w:eastAsia="Times New Roman" w:hAnsi="Times New Roman" w:cs="Times New Roman"/>
                <w:b/>
                <w:sz w:val="20"/>
                <w:szCs w:val="20"/>
              </w:rPr>
              <w:t>Фискалният съвет на Република България съгласува проекта на Закон за държавния бюджет на Република България за 202</w:t>
            </w:r>
            <w:r>
              <w:rPr>
                <w:rFonts w:ascii="Times New Roman" w:eastAsia="Times New Roman" w:hAnsi="Times New Roman" w:cs="Times New Roman"/>
                <w:b/>
                <w:sz w:val="20"/>
                <w:szCs w:val="20"/>
              </w:rPr>
              <w:t>4</w:t>
            </w:r>
            <w:r w:rsidRPr="00552A3D">
              <w:rPr>
                <w:rFonts w:ascii="Times New Roman" w:eastAsia="Times New Roman" w:hAnsi="Times New Roman" w:cs="Times New Roman"/>
                <w:b/>
                <w:sz w:val="20"/>
                <w:szCs w:val="20"/>
              </w:rPr>
              <w:t xml:space="preserve"> г. и Проекта на </w:t>
            </w:r>
            <w:r>
              <w:rPr>
                <w:rFonts w:ascii="Times New Roman" w:eastAsia="Times New Roman" w:hAnsi="Times New Roman" w:cs="Times New Roman"/>
                <w:b/>
                <w:sz w:val="20"/>
                <w:szCs w:val="20"/>
              </w:rPr>
              <w:t xml:space="preserve">Актуализирана </w:t>
            </w:r>
            <w:r w:rsidRPr="00552A3D">
              <w:rPr>
                <w:rFonts w:ascii="Times New Roman" w:eastAsia="Times New Roman" w:hAnsi="Times New Roman" w:cs="Times New Roman"/>
                <w:b/>
                <w:sz w:val="20"/>
                <w:szCs w:val="20"/>
              </w:rPr>
              <w:t>средносрочна бюджетна прогноза за периода 202</w:t>
            </w:r>
            <w:r>
              <w:rPr>
                <w:rFonts w:ascii="Times New Roman" w:eastAsia="Times New Roman" w:hAnsi="Times New Roman" w:cs="Times New Roman"/>
                <w:b/>
                <w:sz w:val="20"/>
                <w:szCs w:val="20"/>
              </w:rPr>
              <w:t>4</w:t>
            </w:r>
            <w:r w:rsidRPr="00552A3D">
              <w:rPr>
                <w:rFonts w:ascii="Times New Roman" w:eastAsia="Times New Roman" w:hAnsi="Times New Roman" w:cs="Times New Roman"/>
                <w:b/>
                <w:sz w:val="20"/>
                <w:szCs w:val="20"/>
              </w:rPr>
              <w:t>-202</w:t>
            </w:r>
            <w:r>
              <w:rPr>
                <w:rFonts w:ascii="Times New Roman" w:eastAsia="Times New Roman" w:hAnsi="Times New Roman" w:cs="Times New Roman"/>
                <w:b/>
                <w:sz w:val="20"/>
                <w:szCs w:val="20"/>
              </w:rPr>
              <w:t>6</w:t>
            </w:r>
            <w:r w:rsidRPr="00552A3D">
              <w:rPr>
                <w:rFonts w:ascii="Times New Roman" w:eastAsia="Times New Roman" w:hAnsi="Times New Roman" w:cs="Times New Roman"/>
                <w:b/>
                <w:sz w:val="20"/>
                <w:szCs w:val="20"/>
              </w:rPr>
              <w:t xml:space="preserve"> г. като мотиви към законопроекта.</w:t>
            </w:r>
          </w:p>
        </w:tc>
        <w:tc>
          <w:tcPr>
            <w:tcW w:w="574" w:type="pct"/>
            <w:shd w:val="clear" w:color="auto" w:fill="auto"/>
          </w:tcPr>
          <w:p w:rsidR="004F6EAB" w:rsidRPr="00657A5B" w:rsidRDefault="004F6EAB" w:rsidP="004F6EAB">
            <w:pPr>
              <w:spacing w:after="0" w:line="240" w:lineRule="auto"/>
              <w:jc w:val="center"/>
              <w:rPr>
                <w:rFonts w:ascii="Times New Roman" w:eastAsia="Times New Roman" w:hAnsi="Times New Roman" w:cs="Times New Roman"/>
                <w:b/>
                <w:sz w:val="20"/>
                <w:szCs w:val="20"/>
              </w:rPr>
            </w:pPr>
          </w:p>
        </w:tc>
        <w:tc>
          <w:tcPr>
            <w:tcW w:w="1617" w:type="pct"/>
            <w:shd w:val="clear" w:color="auto" w:fill="auto"/>
          </w:tcPr>
          <w:p w:rsidR="004F6EAB" w:rsidRPr="00F62685" w:rsidRDefault="004F6EAB" w:rsidP="004F6EAB">
            <w:pPr>
              <w:spacing w:after="0" w:line="240" w:lineRule="auto"/>
              <w:jc w:val="both"/>
              <w:rPr>
                <w:rFonts w:ascii="Times New Roman" w:eastAsia="Times New Roman" w:hAnsi="Times New Roman" w:cs="Times New Roman"/>
                <w:sz w:val="20"/>
                <w:szCs w:val="20"/>
              </w:rPr>
            </w:pPr>
          </w:p>
        </w:tc>
      </w:tr>
      <w:tr w:rsidR="004F6EAB" w:rsidRPr="00F62685" w:rsidTr="00E9260B">
        <w:trPr>
          <w:trHeight w:val="64"/>
        </w:trPr>
        <w:tc>
          <w:tcPr>
            <w:tcW w:w="941" w:type="pct"/>
            <w:shd w:val="clear" w:color="auto" w:fill="BDD6EE" w:themeFill="accent1" w:themeFillTint="66"/>
          </w:tcPr>
          <w:p w:rsidR="004F6EAB" w:rsidRPr="00F62685" w:rsidRDefault="004F6EAB" w:rsidP="004F6EAB">
            <w:pPr>
              <w:spacing w:after="0" w:line="240" w:lineRule="auto"/>
              <w:rPr>
                <w:rFonts w:ascii="Times New Roman" w:eastAsia="Times New Roman" w:hAnsi="Times New Roman" w:cs="Times New Roman"/>
                <w:b/>
                <w:sz w:val="20"/>
                <w:szCs w:val="20"/>
              </w:rPr>
            </w:pPr>
          </w:p>
        </w:tc>
        <w:tc>
          <w:tcPr>
            <w:tcW w:w="1868" w:type="pct"/>
            <w:shd w:val="clear" w:color="auto" w:fill="BDD6EE" w:themeFill="accent1" w:themeFillTint="66"/>
          </w:tcPr>
          <w:p w:rsidR="004F6EAB" w:rsidRPr="00F62685" w:rsidRDefault="004F6EAB" w:rsidP="00097BFC">
            <w:pPr>
              <w:spacing w:after="60" w:line="240" w:lineRule="auto"/>
              <w:jc w:val="both"/>
              <w:rPr>
                <w:rFonts w:ascii="Times New Roman" w:eastAsia="Times New Roman" w:hAnsi="Times New Roman" w:cs="Times New Roman"/>
                <w:b/>
                <w:sz w:val="20"/>
                <w:szCs w:val="20"/>
              </w:rPr>
            </w:pPr>
          </w:p>
        </w:tc>
        <w:tc>
          <w:tcPr>
            <w:tcW w:w="574" w:type="pct"/>
            <w:shd w:val="clear" w:color="auto" w:fill="BDD6EE" w:themeFill="accent1" w:themeFillTint="66"/>
          </w:tcPr>
          <w:p w:rsidR="004F6EAB" w:rsidRPr="00657A5B" w:rsidRDefault="004F6EAB" w:rsidP="004F6EAB">
            <w:pPr>
              <w:spacing w:after="0" w:line="240" w:lineRule="auto"/>
              <w:jc w:val="center"/>
              <w:rPr>
                <w:rFonts w:ascii="Times New Roman" w:eastAsia="Times New Roman" w:hAnsi="Times New Roman" w:cs="Times New Roman"/>
                <w:b/>
                <w:sz w:val="20"/>
                <w:szCs w:val="20"/>
              </w:rPr>
            </w:pPr>
          </w:p>
        </w:tc>
        <w:tc>
          <w:tcPr>
            <w:tcW w:w="1617" w:type="pct"/>
            <w:shd w:val="clear" w:color="auto" w:fill="BDD6EE" w:themeFill="accent1" w:themeFillTint="66"/>
          </w:tcPr>
          <w:p w:rsidR="004F6EAB" w:rsidRPr="00F62685" w:rsidRDefault="004F6EAB" w:rsidP="004F6EAB">
            <w:pPr>
              <w:spacing w:after="0" w:line="240" w:lineRule="auto"/>
              <w:jc w:val="both"/>
              <w:rPr>
                <w:rFonts w:ascii="Times New Roman" w:eastAsia="Times New Roman" w:hAnsi="Times New Roman" w:cs="Times New Roman"/>
                <w:sz w:val="20"/>
                <w:szCs w:val="20"/>
              </w:rPr>
            </w:pPr>
          </w:p>
        </w:tc>
      </w:tr>
    </w:tbl>
    <w:p w:rsidR="00FD6A3E" w:rsidRPr="00F62685" w:rsidRDefault="00FD6A3E" w:rsidP="00BA7536">
      <w:pPr>
        <w:spacing w:after="0" w:line="240" w:lineRule="auto"/>
        <w:jc w:val="center"/>
        <w:rPr>
          <w:rFonts w:ascii="Times New Roman" w:eastAsia="Times New Roman" w:hAnsi="Times New Roman" w:cs="Times New Roman"/>
          <w:b/>
          <w:sz w:val="20"/>
          <w:szCs w:val="20"/>
        </w:rPr>
      </w:pPr>
    </w:p>
    <w:sectPr w:rsidR="00FD6A3E" w:rsidRPr="00F62685" w:rsidSect="00DE00BF">
      <w:footerReference w:type="default" r:id="rId8"/>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6825" w:rsidRDefault="005E6825" w:rsidP="00293FEE">
      <w:pPr>
        <w:spacing w:after="0" w:line="240" w:lineRule="auto"/>
      </w:pPr>
      <w:r>
        <w:separator/>
      </w:r>
    </w:p>
  </w:endnote>
  <w:endnote w:type="continuationSeparator" w:id="0">
    <w:p w:rsidR="005E6825" w:rsidRDefault="005E6825" w:rsidP="00293F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7695136"/>
      <w:docPartObj>
        <w:docPartGallery w:val="Page Numbers (Bottom of Page)"/>
        <w:docPartUnique/>
      </w:docPartObj>
    </w:sdtPr>
    <w:sdtEndPr>
      <w:rPr>
        <w:rFonts w:ascii="Times New Roman" w:hAnsi="Times New Roman" w:cs="Times New Roman"/>
        <w:noProof/>
        <w:sz w:val="24"/>
      </w:rPr>
    </w:sdtEndPr>
    <w:sdtContent>
      <w:p w:rsidR="005E6825" w:rsidRPr="001311F9" w:rsidRDefault="005E6825" w:rsidP="001311F9">
        <w:pPr>
          <w:pStyle w:val="Footer"/>
          <w:jc w:val="center"/>
          <w:rPr>
            <w:rFonts w:ascii="Times New Roman" w:hAnsi="Times New Roman" w:cs="Times New Roman"/>
            <w:sz w:val="24"/>
          </w:rPr>
        </w:pPr>
        <w:r w:rsidRPr="00293FEE">
          <w:rPr>
            <w:rFonts w:ascii="Times New Roman" w:hAnsi="Times New Roman" w:cs="Times New Roman"/>
            <w:sz w:val="24"/>
          </w:rPr>
          <w:fldChar w:fldCharType="begin"/>
        </w:r>
        <w:r w:rsidRPr="00293FEE">
          <w:rPr>
            <w:rFonts w:ascii="Times New Roman" w:hAnsi="Times New Roman" w:cs="Times New Roman"/>
            <w:sz w:val="24"/>
          </w:rPr>
          <w:instrText xml:space="preserve"> PAGE   \* MERGEFORMAT </w:instrText>
        </w:r>
        <w:r w:rsidRPr="00293FEE">
          <w:rPr>
            <w:rFonts w:ascii="Times New Roman" w:hAnsi="Times New Roman" w:cs="Times New Roman"/>
            <w:sz w:val="24"/>
          </w:rPr>
          <w:fldChar w:fldCharType="separate"/>
        </w:r>
        <w:r w:rsidR="004B439D">
          <w:rPr>
            <w:rFonts w:ascii="Times New Roman" w:hAnsi="Times New Roman" w:cs="Times New Roman"/>
            <w:noProof/>
            <w:sz w:val="24"/>
          </w:rPr>
          <w:t>61</w:t>
        </w:r>
        <w:r w:rsidRPr="00293FEE">
          <w:rPr>
            <w:rFonts w:ascii="Times New Roman" w:hAnsi="Times New Roman" w:cs="Times New Roman"/>
            <w:noProof/>
            <w:sz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6825" w:rsidRDefault="005E6825" w:rsidP="00293FEE">
      <w:pPr>
        <w:spacing w:after="0" w:line="240" w:lineRule="auto"/>
      </w:pPr>
      <w:r>
        <w:separator/>
      </w:r>
    </w:p>
  </w:footnote>
  <w:footnote w:type="continuationSeparator" w:id="0">
    <w:p w:rsidR="005E6825" w:rsidRDefault="005E6825" w:rsidP="00293F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6938FF7A">
      <w:start w:val="1"/>
      <w:numFmt w:val="bullet"/>
      <w:lvlText w:val="•"/>
      <w:lvlJc w:val="left"/>
      <w:pPr>
        <w:tabs>
          <w:tab w:val="num" w:pos="360"/>
        </w:tabs>
        <w:ind w:left="360" w:hanging="360"/>
      </w:pPr>
      <w:rPr>
        <w:rFonts w:ascii="Times New Roman" w:eastAsia="Times New Roman" w:hAnsi="Times New Roman" w:cs="Times New Roman"/>
        <w:b w:val="0"/>
        <w:bCs w:val="0"/>
        <w:i w:val="0"/>
        <w:iCs w:val="0"/>
        <w:sz w:val="22"/>
      </w:rPr>
    </w:lvl>
    <w:lvl w:ilvl="1" w:tplc="B3D0D6E8">
      <w:start w:val="1"/>
      <w:numFmt w:val="bullet"/>
      <w:lvlText w:val="o"/>
      <w:lvlJc w:val="left"/>
      <w:pPr>
        <w:tabs>
          <w:tab w:val="num" w:pos="1440"/>
        </w:tabs>
        <w:ind w:left="1440" w:hanging="360"/>
      </w:pPr>
      <w:rPr>
        <w:rFonts w:ascii="Courier New" w:hAnsi="Courier New"/>
      </w:rPr>
    </w:lvl>
    <w:lvl w:ilvl="2" w:tplc="FFF28ECA">
      <w:start w:val="1"/>
      <w:numFmt w:val="bullet"/>
      <w:lvlText w:val=""/>
      <w:lvlJc w:val="left"/>
      <w:pPr>
        <w:tabs>
          <w:tab w:val="num" w:pos="2160"/>
        </w:tabs>
        <w:ind w:left="2160" w:hanging="360"/>
      </w:pPr>
      <w:rPr>
        <w:rFonts w:ascii="Wingdings" w:hAnsi="Wingdings"/>
      </w:rPr>
    </w:lvl>
    <w:lvl w:ilvl="3" w:tplc="3C98EDA4">
      <w:start w:val="1"/>
      <w:numFmt w:val="bullet"/>
      <w:lvlText w:val=""/>
      <w:lvlJc w:val="left"/>
      <w:pPr>
        <w:tabs>
          <w:tab w:val="num" w:pos="2880"/>
        </w:tabs>
        <w:ind w:left="2880" w:hanging="360"/>
      </w:pPr>
      <w:rPr>
        <w:rFonts w:ascii="Symbol" w:hAnsi="Symbol"/>
      </w:rPr>
    </w:lvl>
    <w:lvl w:ilvl="4" w:tplc="69347744">
      <w:start w:val="1"/>
      <w:numFmt w:val="bullet"/>
      <w:lvlText w:val="o"/>
      <w:lvlJc w:val="left"/>
      <w:pPr>
        <w:tabs>
          <w:tab w:val="num" w:pos="3600"/>
        </w:tabs>
        <w:ind w:left="3600" w:hanging="360"/>
      </w:pPr>
      <w:rPr>
        <w:rFonts w:ascii="Courier New" w:hAnsi="Courier New"/>
      </w:rPr>
    </w:lvl>
    <w:lvl w:ilvl="5" w:tplc="D17ACC2A">
      <w:start w:val="1"/>
      <w:numFmt w:val="bullet"/>
      <w:lvlText w:val=""/>
      <w:lvlJc w:val="left"/>
      <w:pPr>
        <w:tabs>
          <w:tab w:val="num" w:pos="4320"/>
        </w:tabs>
        <w:ind w:left="4320" w:hanging="360"/>
      </w:pPr>
      <w:rPr>
        <w:rFonts w:ascii="Wingdings" w:hAnsi="Wingdings"/>
      </w:rPr>
    </w:lvl>
    <w:lvl w:ilvl="6" w:tplc="002E38B8">
      <w:start w:val="1"/>
      <w:numFmt w:val="bullet"/>
      <w:lvlText w:val=""/>
      <w:lvlJc w:val="left"/>
      <w:pPr>
        <w:tabs>
          <w:tab w:val="num" w:pos="5040"/>
        </w:tabs>
        <w:ind w:left="5040" w:hanging="360"/>
      </w:pPr>
      <w:rPr>
        <w:rFonts w:ascii="Symbol" w:hAnsi="Symbol"/>
      </w:rPr>
    </w:lvl>
    <w:lvl w:ilvl="7" w:tplc="437E935C">
      <w:start w:val="1"/>
      <w:numFmt w:val="bullet"/>
      <w:lvlText w:val="o"/>
      <w:lvlJc w:val="left"/>
      <w:pPr>
        <w:tabs>
          <w:tab w:val="num" w:pos="5760"/>
        </w:tabs>
        <w:ind w:left="5760" w:hanging="360"/>
      </w:pPr>
      <w:rPr>
        <w:rFonts w:ascii="Courier New" w:hAnsi="Courier New"/>
      </w:rPr>
    </w:lvl>
    <w:lvl w:ilvl="8" w:tplc="A9303CEE">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hybridMultilevel"/>
    <w:tmpl w:val="00000002"/>
    <w:lvl w:ilvl="0" w:tplc="F13295F6">
      <w:start w:val="1"/>
      <w:numFmt w:val="bullet"/>
      <w:lvlText w:val="•"/>
      <w:lvlJc w:val="left"/>
      <w:pPr>
        <w:tabs>
          <w:tab w:val="num" w:pos="362"/>
        </w:tabs>
        <w:ind w:left="362" w:hanging="360"/>
      </w:pPr>
      <w:rPr>
        <w:rFonts w:ascii="Times New Roman" w:eastAsia="Times New Roman" w:hAnsi="Times New Roman" w:cs="Times New Roman"/>
        <w:b w:val="0"/>
        <w:bCs w:val="0"/>
        <w:i w:val="0"/>
        <w:iCs w:val="0"/>
        <w:sz w:val="22"/>
      </w:rPr>
    </w:lvl>
    <w:lvl w:ilvl="1" w:tplc="9084B99A">
      <w:start w:val="1"/>
      <w:numFmt w:val="bullet"/>
      <w:lvlText w:val="o"/>
      <w:lvlJc w:val="left"/>
      <w:pPr>
        <w:tabs>
          <w:tab w:val="num" w:pos="1440"/>
        </w:tabs>
        <w:ind w:left="1440" w:hanging="360"/>
      </w:pPr>
      <w:rPr>
        <w:rFonts w:ascii="Courier New" w:hAnsi="Courier New"/>
      </w:rPr>
    </w:lvl>
    <w:lvl w:ilvl="2" w:tplc="CD0A7638">
      <w:start w:val="1"/>
      <w:numFmt w:val="bullet"/>
      <w:lvlText w:val=""/>
      <w:lvlJc w:val="left"/>
      <w:pPr>
        <w:tabs>
          <w:tab w:val="num" w:pos="2160"/>
        </w:tabs>
        <w:ind w:left="2160" w:hanging="360"/>
      </w:pPr>
      <w:rPr>
        <w:rFonts w:ascii="Wingdings" w:hAnsi="Wingdings"/>
      </w:rPr>
    </w:lvl>
    <w:lvl w:ilvl="3" w:tplc="A9CEEE90">
      <w:start w:val="1"/>
      <w:numFmt w:val="bullet"/>
      <w:lvlText w:val=""/>
      <w:lvlJc w:val="left"/>
      <w:pPr>
        <w:tabs>
          <w:tab w:val="num" w:pos="2880"/>
        </w:tabs>
        <w:ind w:left="2880" w:hanging="360"/>
      </w:pPr>
      <w:rPr>
        <w:rFonts w:ascii="Symbol" w:hAnsi="Symbol"/>
      </w:rPr>
    </w:lvl>
    <w:lvl w:ilvl="4" w:tplc="98B29508">
      <w:start w:val="1"/>
      <w:numFmt w:val="bullet"/>
      <w:lvlText w:val="o"/>
      <w:lvlJc w:val="left"/>
      <w:pPr>
        <w:tabs>
          <w:tab w:val="num" w:pos="3600"/>
        </w:tabs>
        <w:ind w:left="3600" w:hanging="360"/>
      </w:pPr>
      <w:rPr>
        <w:rFonts w:ascii="Courier New" w:hAnsi="Courier New"/>
      </w:rPr>
    </w:lvl>
    <w:lvl w:ilvl="5" w:tplc="CC685E36">
      <w:start w:val="1"/>
      <w:numFmt w:val="bullet"/>
      <w:lvlText w:val=""/>
      <w:lvlJc w:val="left"/>
      <w:pPr>
        <w:tabs>
          <w:tab w:val="num" w:pos="4320"/>
        </w:tabs>
        <w:ind w:left="4320" w:hanging="360"/>
      </w:pPr>
      <w:rPr>
        <w:rFonts w:ascii="Wingdings" w:hAnsi="Wingdings"/>
      </w:rPr>
    </w:lvl>
    <w:lvl w:ilvl="6" w:tplc="A11E6520">
      <w:start w:val="1"/>
      <w:numFmt w:val="bullet"/>
      <w:lvlText w:val=""/>
      <w:lvlJc w:val="left"/>
      <w:pPr>
        <w:tabs>
          <w:tab w:val="num" w:pos="5040"/>
        </w:tabs>
        <w:ind w:left="5040" w:hanging="360"/>
      </w:pPr>
      <w:rPr>
        <w:rFonts w:ascii="Symbol" w:hAnsi="Symbol"/>
      </w:rPr>
    </w:lvl>
    <w:lvl w:ilvl="7" w:tplc="18AE0D48">
      <w:start w:val="1"/>
      <w:numFmt w:val="bullet"/>
      <w:lvlText w:val="o"/>
      <w:lvlJc w:val="left"/>
      <w:pPr>
        <w:tabs>
          <w:tab w:val="num" w:pos="5760"/>
        </w:tabs>
        <w:ind w:left="5760" w:hanging="360"/>
      </w:pPr>
      <w:rPr>
        <w:rFonts w:ascii="Courier New" w:hAnsi="Courier New"/>
      </w:rPr>
    </w:lvl>
    <w:lvl w:ilvl="8" w:tplc="DE0E4686">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hybridMultilevel"/>
    <w:tmpl w:val="00000003"/>
    <w:lvl w:ilvl="0" w:tplc="EC562562">
      <w:start w:val="1"/>
      <w:numFmt w:val="bullet"/>
      <w:lvlText w:val="•"/>
      <w:lvlJc w:val="left"/>
      <w:pPr>
        <w:tabs>
          <w:tab w:val="num" w:pos="297"/>
        </w:tabs>
        <w:ind w:left="297" w:hanging="295"/>
      </w:pPr>
      <w:rPr>
        <w:rFonts w:ascii="Times New Roman" w:eastAsia="Times New Roman" w:hAnsi="Times New Roman" w:cs="Times New Roman"/>
        <w:b w:val="0"/>
        <w:bCs w:val="0"/>
        <w:i w:val="0"/>
        <w:iCs w:val="0"/>
        <w:sz w:val="22"/>
      </w:rPr>
    </w:lvl>
    <w:lvl w:ilvl="1" w:tplc="89CA8236">
      <w:start w:val="1"/>
      <w:numFmt w:val="bullet"/>
      <w:lvlText w:val="o"/>
      <w:lvlJc w:val="left"/>
      <w:pPr>
        <w:tabs>
          <w:tab w:val="num" w:pos="1440"/>
        </w:tabs>
        <w:ind w:left="1440" w:hanging="360"/>
      </w:pPr>
      <w:rPr>
        <w:rFonts w:ascii="Courier New" w:hAnsi="Courier New"/>
      </w:rPr>
    </w:lvl>
    <w:lvl w:ilvl="2" w:tplc="B5D07B10">
      <w:start w:val="1"/>
      <w:numFmt w:val="bullet"/>
      <w:lvlText w:val=""/>
      <w:lvlJc w:val="left"/>
      <w:pPr>
        <w:tabs>
          <w:tab w:val="num" w:pos="2160"/>
        </w:tabs>
        <w:ind w:left="2160" w:hanging="360"/>
      </w:pPr>
      <w:rPr>
        <w:rFonts w:ascii="Wingdings" w:hAnsi="Wingdings"/>
      </w:rPr>
    </w:lvl>
    <w:lvl w:ilvl="3" w:tplc="84982EF2">
      <w:start w:val="1"/>
      <w:numFmt w:val="bullet"/>
      <w:lvlText w:val=""/>
      <w:lvlJc w:val="left"/>
      <w:pPr>
        <w:tabs>
          <w:tab w:val="num" w:pos="2880"/>
        </w:tabs>
        <w:ind w:left="2880" w:hanging="360"/>
      </w:pPr>
      <w:rPr>
        <w:rFonts w:ascii="Symbol" w:hAnsi="Symbol"/>
      </w:rPr>
    </w:lvl>
    <w:lvl w:ilvl="4" w:tplc="52C6FCF2">
      <w:start w:val="1"/>
      <w:numFmt w:val="bullet"/>
      <w:lvlText w:val="o"/>
      <w:lvlJc w:val="left"/>
      <w:pPr>
        <w:tabs>
          <w:tab w:val="num" w:pos="3600"/>
        </w:tabs>
        <w:ind w:left="3600" w:hanging="360"/>
      </w:pPr>
      <w:rPr>
        <w:rFonts w:ascii="Courier New" w:hAnsi="Courier New"/>
      </w:rPr>
    </w:lvl>
    <w:lvl w:ilvl="5" w:tplc="9320B012">
      <w:start w:val="1"/>
      <w:numFmt w:val="bullet"/>
      <w:lvlText w:val=""/>
      <w:lvlJc w:val="left"/>
      <w:pPr>
        <w:tabs>
          <w:tab w:val="num" w:pos="4320"/>
        </w:tabs>
        <w:ind w:left="4320" w:hanging="360"/>
      </w:pPr>
      <w:rPr>
        <w:rFonts w:ascii="Wingdings" w:hAnsi="Wingdings"/>
      </w:rPr>
    </w:lvl>
    <w:lvl w:ilvl="6" w:tplc="18608210">
      <w:start w:val="1"/>
      <w:numFmt w:val="bullet"/>
      <w:lvlText w:val=""/>
      <w:lvlJc w:val="left"/>
      <w:pPr>
        <w:tabs>
          <w:tab w:val="num" w:pos="5040"/>
        </w:tabs>
        <w:ind w:left="5040" w:hanging="360"/>
      </w:pPr>
      <w:rPr>
        <w:rFonts w:ascii="Symbol" w:hAnsi="Symbol"/>
      </w:rPr>
    </w:lvl>
    <w:lvl w:ilvl="7" w:tplc="0CACA1A6">
      <w:start w:val="1"/>
      <w:numFmt w:val="bullet"/>
      <w:lvlText w:val="o"/>
      <w:lvlJc w:val="left"/>
      <w:pPr>
        <w:tabs>
          <w:tab w:val="num" w:pos="5760"/>
        </w:tabs>
        <w:ind w:left="5760" w:hanging="360"/>
      </w:pPr>
      <w:rPr>
        <w:rFonts w:ascii="Courier New" w:hAnsi="Courier New"/>
      </w:rPr>
    </w:lvl>
    <w:lvl w:ilvl="8" w:tplc="E7424F5C">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hybridMultilevel"/>
    <w:tmpl w:val="00000004"/>
    <w:lvl w:ilvl="0" w:tplc="29BEA912">
      <w:start w:val="1"/>
      <w:numFmt w:val="bullet"/>
      <w:lvlText w:val="•"/>
      <w:lvlJc w:val="left"/>
      <w:pPr>
        <w:tabs>
          <w:tab w:val="num" w:pos="297"/>
        </w:tabs>
        <w:ind w:left="297" w:hanging="295"/>
      </w:pPr>
      <w:rPr>
        <w:rFonts w:ascii="Times New Roman" w:eastAsia="Times New Roman" w:hAnsi="Times New Roman" w:cs="Times New Roman"/>
        <w:b w:val="0"/>
        <w:bCs w:val="0"/>
        <w:i w:val="0"/>
        <w:iCs w:val="0"/>
        <w:sz w:val="22"/>
      </w:rPr>
    </w:lvl>
    <w:lvl w:ilvl="1" w:tplc="C624CCF8">
      <w:start w:val="1"/>
      <w:numFmt w:val="bullet"/>
      <w:lvlText w:val="o"/>
      <w:lvlJc w:val="left"/>
      <w:pPr>
        <w:tabs>
          <w:tab w:val="num" w:pos="1440"/>
        </w:tabs>
        <w:ind w:left="1440" w:hanging="360"/>
      </w:pPr>
      <w:rPr>
        <w:rFonts w:ascii="Courier New" w:hAnsi="Courier New"/>
      </w:rPr>
    </w:lvl>
    <w:lvl w:ilvl="2" w:tplc="BC56A54A">
      <w:start w:val="1"/>
      <w:numFmt w:val="bullet"/>
      <w:lvlText w:val=""/>
      <w:lvlJc w:val="left"/>
      <w:pPr>
        <w:tabs>
          <w:tab w:val="num" w:pos="2160"/>
        </w:tabs>
        <w:ind w:left="2160" w:hanging="360"/>
      </w:pPr>
      <w:rPr>
        <w:rFonts w:ascii="Wingdings" w:hAnsi="Wingdings"/>
      </w:rPr>
    </w:lvl>
    <w:lvl w:ilvl="3" w:tplc="8AE88E5C">
      <w:start w:val="1"/>
      <w:numFmt w:val="bullet"/>
      <w:lvlText w:val=""/>
      <w:lvlJc w:val="left"/>
      <w:pPr>
        <w:tabs>
          <w:tab w:val="num" w:pos="2880"/>
        </w:tabs>
        <w:ind w:left="2880" w:hanging="360"/>
      </w:pPr>
      <w:rPr>
        <w:rFonts w:ascii="Symbol" w:hAnsi="Symbol"/>
      </w:rPr>
    </w:lvl>
    <w:lvl w:ilvl="4" w:tplc="DA7C54AA">
      <w:start w:val="1"/>
      <w:numFmt w:val="bullet"/>
      <w:lvlText w:val="o"/>
      <w:lvlJc w:val="left"/>
      <w:pPr>
        <w:tabs>
          <w:tab w:val="num" w:pos="3600"/>
        </w:tabs>
        <w:ind w:left="3600" w:hanging="360"/>
      </w:pPr>
      <w:rPr>
        <w:rFonts w:ascii="Courier New" w:hAnsi="Courier New"/>
      </w:rPr>
    </w:lvl>
    <w:lvl w:ilvl="5" w:tplc="83246094">
      <w:start w:val="1"/>
      <w:numFmt w:val="bullet"/>
      <w:lvlText w:val=""/>
      <w:lvlJc w:val="left"/>
      <w:pPr>
        <w:tabs>
          <w:tab w:val="num" w:pos="4320"/>
        </w:tabs>
        <w:ind w:left="4320" w:hanging="360"/>
      </w:pPr>
      <w:rPr>
        <w:rFonts w:ascii="Wingdings" w:hAnsi="Wingdings"/>
      </w:rPr>
    </w:lvl>
    <w:lvl w:ilvl="6" w:tplc="7728B482">
      <w:start w:val="1"/>
      <w:numFmt w:val="bullet"/>
      <w:lvlText w:val=""/>
      <w:lvlJc w:val="left"/>
      <w:pPr>
        <w:tabs>
          <w:tab w:val="num" w:pos="5040"/>
        </w:tabs>
        <w:ind w:left="5040" w:hanging="360"/>
      </w:pPr>
      <w:rPr>
        <w:rFonts w:ascii="Symbol" w:hAnsi="Symbol"/>
      </w:rPr>
    </w:lvl>
    <w:lvl w:ilvl="7" w:tplc="6DDE69C6">
      <w:start w:val="1"/>
      <w:numFmt w:val="bullet"/>
      <w:lvlText w:val="o"/>
      <w:lvlJc w:val="left"/>
      <w:pPr>
        <w:tabs>
          <w:tab w:val="num" w:pos="5760"/>
        </w:tabs>
        <w:ind w:left="5760" w:hanging="360"/>
      </w:pPr>
      <w:rPr>
        <w:rFonts w:ascii="Courier New" w:hAnsi="Courier New"/>
      </w:rPr>
    </w:lvl>
    <w:lvl w:ilvl="8" w:tplc="51A8000E">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hybridMultilevel"/>
    <w:tmpl w:val="00000005"/>
    <w:lvl w:ilvl="0" w:tplc="A71C8664">
      <w:start w:val="1"/>
      <w:numFmt w:val="bullet"/>
      <w:lvlText w:val="•"/>
      <w:lvlJc w:val="left"/>
      <w:pPr>
        <w:tabs>
          <w:tab w:val="num" w:pos="297"/>
        </w:tabs>
        <w:ind w:left="297" w:hanging="295"/>
      </w:pPr>
      <w:rPr>
        <w:rFonts w:ascii="Times New Roman" w:eastAsia="Times New Roman" w:hAnsi="Times New Roman" w:cs="Times New Roman"/>
        <w:b w:val="0"/>
        <w:bCs w:val="0"/>
        <w:i w:val="0"/>
        <w:iCs w:val="0"/>
        <w:sz w:val="22"/>
      </w:rPr>
    </w:lvl>
    <w:lvl w:ilvl="1" w:tplc="1C2C31EE">
      <w:start w:val="1"/>
      <w:numFmt w:val="bullet"/>
      <w:lvlText w:val="o"/>
      <w:lvlJc w:val="left"/>
      <w:pPr>
        <w:tabs>
          <w:tab w:val="num" w:pos="1440"/>
        </w:tabs>
        <w:ind w:left="1440" w:hanging="360"/>
      </w:pPr>
      <w:rPr>
        <w:rFonts w:ascii="Courier New" w:hAnsi="Courier New"/>
      </w:rPr>
    </w:lvl>
    <w:lvl w:ilvl="2" w:tplc="C4383CCE">
      <w:start w:val="1"/>
      <w:numFmt w:val="bullet"/>
      <w:lvlText w:val=""/>
      <w:lvlJc w:val="left"/>
      <w:pPr>
        <w:tabs>
          <w:tab w:val="num" w:pos="2160"/>
        </w:tabs>
        <w:ind w:left="2160" w:hanging="360"/>
      </w:pPr>
      <w:rPr>
        <w:rFonts w:ascii="Wingdings" w:hAnsi="Wingdings"/>
      </w:rPr>
    </w:lvl>
    <w:lvl w:ilvl="3" w:tplc="36C46E8C">
      <w:start w:val="1"/>
      <w:numFmt w:val="bullet"/>
      <w:lvlText w:val=""/>
      <w:lvlJc w:val="left"/>
      <w:pPr>
        <w:tabs>
          <w:tab w:val="num" w:pos="2880"/>
        </w:tabs>
        <w:ind w:left="2880" w:hanging="360"/>
      </w:pPr>
      <w:rPr>
        <w:rFonts w:ascii="Symbol" w:hAnsi="Symbol"/>
      </w:rPr>
    </w:lvl>
    <w:lvl w:ilvl="4" w:tplc="569280D0">
      <w:start w:val="1"/>
      <w:numFmt w:val="bullet"/>
      <w:lvlText w:val="o"/>
      <w:lvlJc w:val="left"/>
      <w:pPr>
        <w:tabs>
          <w:tab w:val="num" w:pos="3600"/>
        </w:tabs>
        <w:ind w:left="3600" w:hanging="360"/>
      </w:pPr>
      <w:rPr>
        <w:rFonts w:ascii="Courier New" w:hAnsi="Courier New"/>
      </w:rPr>
    </w:lvl>
    <w:lvl w:ilvl="5" w:tplc="449EE9D0">
      <w:start w:val="1"/>
      <w:numFmt w:val="bullet"/>
      <w:lvlText w:val=""/>
      <w:lvlJc w:val="left"/>
      <w:pPr>
        <w:tabs>
          <w:tab w:val="num" w:pos="4320"/>
        </w:tabs>
        <w:ind w:left="4320" w:hanging="360"/>
      </w:pPr>
      <w:rPr>
        <w:rFonts w:ascii="Wingdings" w:hAnsi="Wingdings"/>
      </w:rPr>
    </w:lvl>
    <w:lvl w:ilvl="6" w:tplc="4DF88CC2">
      <w:start w:val="1"/>
      <w:numFmt w:val="bullet"/>
      <w:lvlText w:val=""/>
      <w:lvlJc w:val="left"/>
      <w:pPr>
        <w:tabs>
          <w:tab w:val="num" w:pos="5040"/>
        </w:tabs>
        <w:ind w:left="5040" w:hanging="360"/>
      </w:pPr>
      <w:rPr>
        <w:rFonts w:ascii="Symbol" w:hAnsi="Symbol"/>
      </w:rPr>
    </w:lvl>
    <w:lvl w:ilvl="7" w:tplc="57E08060">
      <w:start w:val="1"/>
      <w:numFmt w:val="bullet"/>
      <w:lvlText w:val="o"/>
      <w:lvlJc w:val="left"/>
      <w:pPr>
        <w:tabs>
          <w:tab w:val="num" w:pos="5760"/>
        </w:tabs>
        <w:ind w:left="5760" w:hanging="360"/>
      </w:pPr>
      <w:rPr>
        <w:rFonts w:ascii="Courier New" w:hAnsi="Courier New"/>
      </w:rPr>
    </w:lvl>
    <w:lvl w:ilvl="8" w:tplc="737E4D8A">
      <w:start w:val="1"/>
      <w:numFmt w:val="bullet"/>
      <w:lvlText w:val=""/>
      <w:lvlJc w:val="left"/>
      <w:pPr>
        <w:tabs>
          <w:tab w:val="num" w:pos="6480"/>
        </w:tabs>
        <w:ind w:left="6480" w:hanging="360"/>
      </w:pPr>
      <w:rPr>
        <w:rFonts w:ascii="Wingdings" w:hAnsi="Wingdings"/>
      </w:rPr>
    </w:lvl>
  </w:abstractNum>
  <w:abstractNum w:abstractNumId="5" w15:restartNumberingAfterBreak="0">
    <w:nsid w:val="1A35105F"/>
    <w:multiLevelType w:val="hybridMultilevel"/>
    <w:tmpl w:val="F8CA250A"/>
    <w:lvl w:ilvl="0" w:tplc="74DEF21C">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D1F65DD"/>
    <w:multiLevelType w:val="hybridMultilevel"/>
    <w:tmpl w:val="5C1C30BE"/>
    <w:lvl w:ilvl="0" w:tplc="FF74C9EE">
      <w:start w:val="1"/>
      <w:numFmt w:val="decimal"/>
      <w:lvlText w:val="%1."/>
      <w:lvlJc w:val="left"/>
      <w:pPr>
        <w:ind w:left="786" w:hanging="360"/>
      </w:pPr>
      <w:rPr>
        <w:rFonts w:hint="default"/>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F31445C"/>
    <w:multiLevelType w:val="hybridMultilevel"/>
    <w:tmpl w:val="D8C0BEEE"/>
    <w:lvl w:ilvl="0" w:tplc="AECA06F2">
      <w:start w:val="9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9E26DF7"/>
    <w:multiLevelType w:val="hybridMultilevel"/>
    <w:tmpl w:val="D424FC9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25C3BD4"/>
    <w:multiLevelType w:val="hybridMultilevel"/>
    <w:tmpl w:val="624A353C"/>
    <w:lvl w:ilvl="0" w:tplc="5A38A5AC">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66366B24"/>
    <w:multiLevelType w:val="hybridMultilevel"/>
    <w:tmpl w:val="C810BD9C"/>
    <w:lvl w:ilvl="0" w:tplc="0226C658">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667B44E7"/>
    <w:multiLevelType w:val="hybridMultilevel"/>
    <w:tmpl w:val="E6085A9C"/>
    <w:lvl w:ilvl="0" w:tplc="8FE84ED6">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8"/>
  </w:num>
  <w:num w:numId="4">
    <w:abstractNumId w:val="11"/>
  </w:num>
  <w:num w:numId="5">
    <w:abstractNumId w:val="6"/>
  </w:num>
  <w:num w:numId="6">
    <w:abstractNumId w:val="0"/>
  </w:num>
  <w:num w:numId="7">
    <w:abstractNumId w:val="1"/>
  </w:num>
  <w:num w:numId="8">
    <w:abstractNumId w:val="2"/>
  </w:num>
  <w:num w:numId="9">
    <w:abstractNumId w:val="3"/>
  </w:num>
  <w:num w:numId="10">
    <w:abstractNumId w:val="4"/>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2F6"/>
    <w:rsid w:val="00014BD9"/>
    <w:rsid w:val="000171A2"/>
    <w:rsid w:val="00024CC1"/>
    <w:rsid w:val="00030BDF"/>
    <w:rsid w:val="00033B40"/>
    <w:rsid w:val="00040372"/>
    <w:rsid w:val="00057C7B"/>
    <w:rsid w:val="0006507A"/>
    <w:rsid w:val="00066493"/>
    <w:rsid w:val="00067690"/>
    <w:rsid w:val="00070E1A"/>
    <w:rsid w:val="000737F3"/>
    <w:rsid w:val="00082889"/>
    <w:rsid w:val="000867DE"/>
    <w:rsid w:val="00087DD2"/>
    <w:rsid w:val="000934FB"/>
    <w:rsid w:val="00097BFC"/>
    <w:rsid w:val="000A3A02"/>
    <w:rsid w:val="000B65D8"/>
    <w:rsid w:val="000B7BFC"/>
    <w:rsid w:val="000C0403"/>
    <w:rsid w:val="000C0656"/>
    <w:rsid w:val="000C2212"/>
    <w:rsid w:val="000E17CD"/>
    <w:rsid w:val="000E69A6"/>
    <w:rsid w:val="000F080F"/>
    <w:rsid w:val="000F3726"/>
    <w:rsid w:val="000F5D2C"/>
    <w:rsid w:val="00104680"/>
    <w:rsid w:val="001046E0"/>
    <w:rsid w:val="001167EB"/>
    <w:rsid w:val="00120FDE"/>
    <w:rsid w:val="00130828"/>
    <w:rsid w:val="001311F9"/>
    <w:rsid w:val="00137B4F"/>
    <w:rsid w:val="00154790"/>
    <w:rsid w:val="001564F7"/>
    <w:rsid w:val="00174682"/>
    <w:rsid w:val="00174FD8"/>
    <w:rsid w:val="00177DCC"/>
    <w:rsid w:val="00182E50"/>
    <w:rsid w:val="00185DFD"/>
    <w:rsid w:val="00190A44"/>
    <w:rsid w:val="0019196C"/>
    <w:rsid w:val="00192952"/>
    <w:rsid w:val="001A254B"/>
    <w:rsid w:val="001A3ECD"/>
    <w:rsid w:val="001A429D"/>
    <w:rsid w:val="001A49F3"/>
    <w:rsid w:val="001B1572"/>
    <w:rsid w:val="001B1EB3"/>
    <w:rsid w:val="001B3CFA"/>
    <w:rsid w:val="001C09FA"/>
    <w:rsid w:val="001C40A1"/>
    <w:rsid w:val="001C421F"/>
    <w:rsid w:val="001C46BB"/>
    <w:rsid w:val="001D23A8"/>
    <w:rsid w:val="001E1167"/>
    <w:rsid w:val="001E1244"/>
    <w:rsid w:val="00200B4A"/>
    <w:rsid w:val="00210433"/>
    <w:rsid w:val="00210EAD"/>
    <w:rsid w:val="002111D9"/>
    <w:rsid w:val="00227B50"/>
    <w:rsid w:val="00230579"/>
    <w:rsid w:val="00230AD1"/>
    <w:rsid w:val="00234ACB"/>
    <w:rsid w:val="0023685A"/>
    <w:rsid w:val="002433A2"/>
    <w:rsid w:val="00246CE1"/>
    <w:rsid w:val="00247A9A"/>
    <w:rsid w:val="00252362"/>
    <w:rsid w:val="00253406"/>
    <w:rsid w:val="0025426A"/>
    <w:rsid w:val="00263556"/>
    <w:rsid w:val="00265479"/>
    <w:rsid w:val="0026707E"/>
    <w:rsid w:val="002718D1"/>
    <w:rsid w:val="00275893"/>
    <w:rsid w:val="00277CE1"/>
    <w:rsid w:val="00280AF5"/>
    <w:rsid w:val="00284F38"/>
    <w:rsid w:val="00290E64"/>
    <w:rsid w:val="00293FEE"/>
    <w:rsid w:val="002A6D44"/>
    <w:rsid w:val="002B7745"/>
    <w:rsid w:val="002B7A66"/>
    <w:rsid w:val="002C085D"/>
    <w:rsid w:val="002C547E"/>
    <w:rsid w:val="002D45D5"/>
    <w:rsid w:val="002E1338"/>
    <w:rsid w:val="002E29FD"/>
    <w:rsid w:val="002E2A82"/>
    <w:rsid w:val="002E5DEC"/>
    <w:rsid w:val="002F2D41"/>
    <w:rsid w:val="002F5626"/>
    <w:rsid w:val="00300DE0"/>
    <w:rsid w:val="00312302"/>
    <w:rsid w:val="00312D73"/>
    <w:rsid w:val="00313148"/>
    <w:rsid w:val="0031796A"/>
    <w:rsid w:val="003240B4"/>
    <w:rsid w:val="00324748"/>
    <w:rsid w:val="00326836"/>
    <w:rsid w:val="00330BB6"/>
    <w:rsid w:val="00331C67"/>
    <w:rsid w:val="00331FF3"/>
    <w:rsid w:val="00332ABB"/>
    <w:rsid w:val="00333285"/>
    <w:rsid w:val="00345640"/>
    <w:rsid w:val="0034738F"/>
    <w:rsid w:val="003603B8"/>
    <w:rsid w:val="00361DEF"/>
    <w:rsid w:val="00372A0C"/>
    <w:rsid w:val="00372FFF"/>
    <w:rsid w:val="00373A7E"/>
    <w:rsid w:val="003930A8"/>
    <w:rsid w:val="003941EF"/>
    <w:rsid w:val="00395073"/>
    <w:rsid w:val="003A456C"/>
    <w:rsid w:val="003A534A"/>
    <w:rsid w:val="003C07C0"/>
    <w:rsid w:val="003D643C"/>
    <w:rsid w:val="003E05D0"/>
    <w:rsid w:val="003E68BE"/>
    <w:rsid w:val="003F1AE1"/>
    <w:rsid w:val="003F56BC"/>
    <w:rsid w:val="003F68E7"/>
    <w:rsid w:val="00405BFB"/>
    <w:rsid w:val="00416E02"/>
    <w:rsid w:val="004256CD"/>
    <w:rsid w:val="00426705"/>
    <w:rsid w:val="0044218C"/>
    <w:rsid w:val="00450709"/>
    <w:rsid w:val="00453321"/>
    <w:rsid w:val="004553A9"/>
    <w:rsid w:val="00474173"/>
    <w:rsid w:val="00474EE4"/>
    <w:rsid w:val="00475316"/>
    <w:rsid w:val="00492F2C"/>
    <w:rsid w:val="004A5F34"/>
    <w:rsid w:val="004B1346"/>
    <w:rsid w:val="004B439D"/>
    <w:rsid w:val="004B7EFB"/>
    <w:rsid w:val="004C210B"/>
    <w:rsid w:val="004D0A80"/>
    <w:rsid w:val="004E0FDD"/>
    <w:rsid w:val="004F2266"/>
    <w:rsid w:val="004F6EAB"/>
    <w:rsid w:val="005034B5"/>
    <w:rsid w:val="005143B2"/>
    <w:rsid w:val="00514CCC"/>
    <w:rsid w:val="00516718"/>
    <w:rsid w:val="0052735E"/>
    <w:rsid w:val="005329BF"/>
    <w:rsid w:val="005334A9"/>
    <w:rsid w:val="00540708"/>
    <w:rsid w:val="00544C48"/>
    <w:rsid w:val="00574F6B"/>
    <w:rsid w:val="00575B68"/>
    <w:rsid w:val="00590B28"/>
    <w:rsid w:val="00594131"/>
    <w:rsid w:val="00596248"/>
    <w:rsid w:val="005A7F2D"/>
    <w:rsid w:val="005B105C"/>
    <w:rsid w:val="005C4991"/>
    <w:rsid w:val="005D16A7"/>
    <w:rsid w:val="005D454E"/>
    <w:rsid w:val="005E2D32"/>
    <w:rsid w:val="005E3936"/>
    <w:rsid w:val="005E39FA"/>
    <w:rsid w:val="005E3B49"/>
    <w:rsid w:val="005E62CC"/>
    <w:rsid w:val="005E6825"/>
    <w:rsid w:val="005E6D75"/>
    <w:rsid w:val="005E76D7"/>
    <w:rsid w:val="005F0F5F"/>
    <w:rsid w:val="005F43E7"/>
    <w:rsid w:val="00601D62"/>
    <w:rsid w:val="006051EF"/>
    <w:rsid w:val="0060558C"/>
    <w:rsid w:val="00626EDD"/>
    <w:rsid w:val="006326F1"/>
    <w:rsid w:val="00641C1C"/>
    <w:rsid w:val="00643335"/>
    <w:rsid w:val="00646BB6"/>
    <w:rsid w:val="00650C9A"/>
    <w:rsid w:val="00653273"/>
    <w:rsid w:val="0065493D"/>
    <w:rsid w:val="00657A5B"/>
    <w:rsid w:val="00660114"/>
    <w:rsid w:val="00660F5F"/>
    <w:rsid w:val="00661E44"/>
    <w:rsid w:val="006671DD"/>
    <w:rsid w:val="00667518"/>
    <w:rsid w:val="006721D6"/>
    <w:rsid w:val="00673430"/>
    <w:rsid w:val="00680BB3"/>
    <w:rsid w:val="0068658C"/>
    <w:rsid w:val="0068733F"/>
    <w:rsid w:val="00697837"/>
    <w:rsid w:val="006A1016"/>
    <w:rsid w:val="006B71BD"/>
    <w:rsid w:val="006C09AA"/>
    <w:rsid w:val="006D3580"/>
    <w:rsid w:val="006D7047"/>
    <w:rsid w:val="006F0A78"/>
    <w:rsid w:val="006F1DE6"/>
    <w:rsid w:val="006F45F9"/>
    <w:rsid w:val="007043C1"/>
    <w:rsid w:val="00706BA0"/>
    <w:rsid w:val="00707297"/>
    <w:rsid w:val="00711822"/>
    <w:rsid w:val="00712E0B"/>
    <w:rsid w:val="0071555A"/>
    <w:rsid w:val="007222C8"/>
    <w:rsid w:val="00725C58"/>
    <w:rsid w:val="00734A14"/>
    <w:rsid w:val="007478CC"/>
    <w:rsid w:val="00752DF2"/>
    <w:rsid w:val="00757E02"/>
    <w:rsid w:val="00761BF7"/>
    <w:rsid w:val="00764BEF"/>
    <w:rsid w:val="007679FD"/>
    <w:rsid w:val="0078489E"/>
    <w:rsid w:val="007877BF"/>
    <w:rsid w:val="00787E7B"/>
    <w:rsid w:val="007937CB"/>
    <w:rsid w:val="0079572A"/>
    <w:rsid w:val="007A14A9"/>
    <w:rsid w:val="007A2781"/>
    <w:rsid w:val="007A2E5E"/>
    <w:rsid w:val="007A4C41"/>
    <w:rsid w:val="007C6CA5"/>
    <w:rsid w:val="007D6A6E"/>
    <w:rsid w:val="007D7D9F"/>
    <w:rsid w:val="007E536B"/>
    <w:rsid w:val="007F02DB"/>
    <w:rsid w:val="007F6BF1"/>
    <w:rsid w:val="00800CF4"/>
    <w:rsid w:val="00802343"/>
    <w:rsid w:val="00805792"/>
    <w:rsid w:val="00816FED"/>
    <w:rsid w:val="0082189C"/>
    <w:rsid w:val="008231F1"/>
    <w:rsid w:val="00824710"/>
    <w:rsid w:val="00830C75"/>
    <w:rsid w:val="00836188"/>
    <w:rsid w:val="00846195"/>
    <w:rsid w:val="0085660B"/>
    <w:rsid w:val="00856C51"/>
    <w:rsid w:val="008617FD"/>
    <w:rsid w:val="0086366B"/>
    <w:rsid w:val="008658A5"/>
    <w:rsid w:val="00867DE1"/>
    <w:rsid w:val="00882BEE"/>
    <w:rsid w:val="00893A7D"/>
    <w:rsid w:val="008A609D"/>
    <w:rsid w:val="008A6BB9"/>
    <w:rsid w:val="008A73D7"/>
    <w:rsid w:val="008B3A6A"/>
    <w:rsid w:val="008B5285"/>
    <w:rsid w:val="008B5BEA"/>
    <w:rsid w:val="008C58E6"/>
    <w:rsid w:val="008D5556"/>
    <w:rsid w:val="008D5D00"/>
    <w:rsid w:val="008E24FF"/>
    <w:rsid w:val="00906DE4"/>
    <w:rsid w:val="00914B25"/>
    <w:rsid w:val="00916611"/>
    <w:rsid w:val="00916782"/>
    <w:rsid w:val="009265CC"/>
    <w:rsid w:val="0093356B"/>
    <w:rsid w:val="00935B60"/>
    <w:rsid w:val="009363A1"/>
    <w:rsid w:val="00944663"/>
    <w:rsid w:val="00951A99"/>
    <w:rsid w:val="009548E0"/>
    <w:rsid w:val="00960C55"/>
    <w:rsid w:val="009621DF"/>
    <w:rsid w:val="00967BB7"/>
    <w:rsid w:val="00982C2D"/>
    <w:rsid w:val="009A05ED"/>
    <w:rsid w:val="009A3160"/>
    <w:rsid w:val="009A3D62"/>
    <w:rsid w:val="009C404C"/>
    <w:rsid w:val="009D134D"/>
    <w:rsid w:val="009D250C"/>
    <w:rsid w:val="009E1287"/>
    <w:rsid w:val="009E7643"/>
    <w:rsid w:val="009F1CCA"/>
    <w:rsid w:val="009F5055"/>
    <w:rsid w:val="009F7C4B"/>
    <w:rsid w:val="00A029FE"/>
    <w:rsid w:val="00A0781B"/>
    <w:rsid w:val="00A1235D"/>
    <w:rsid w:val="00A14605"/>
    <w:rsid w:val="00A14705"/>
    <w:rsid w:val="00A20C37"/>
    <w:rsid w:val="00A3050E"/>
    <w:rsid w:val="00A42E2D"/>
    <w:rsid w:val="00A446BC"/>
    <w:rsid w:val="00A4537C"/>
    <w:rsid w:val="00A45387"/>
    <w:rsid w:val="00A51AAA"/>
    <w:rsid w:val="00A55C00"/>
    <w:rsid w:val="00A60C84"/>
    <w:rsid w:val="00A74642"/>
    <w:rsid w:val="00A76100"/>
    <w:rsid w:val="00A83090"/>
    <w:rsid w:val="00A86C4E"/>
    <w:rsid w:val="00A9069A"/>
    <w:rsid w:val="00A9354D"/>
    <w:rsid w:val="00A95383"/>
    <w:rsid w:val="00AA6B55"/>
    <w:rsid w:val="00AA6F78"/>
    <w:rsid w:val="00AA731E"/>
    <w:rsid w:val="00AB0841"/>
    <w:rsid w:val="00AB34B5"/>
    <w:rsid w:val="00AC2562"/>
    <w:rsid w:val="00AD619A"/>
    <w:rsid w:val="00AE1C9C"/>
    <w:rsid w:val="00AE240B"/>
    <w:rsid w:val="00AE6B52"/>
    <w:rsid w:val="00AF5DFA"/>
    <w:rsid w:val="00B012B0"/>
    <w:rsid w:val="00B0511C"/>
    <w:rsid w:val="00B21E10"/>
    <w:rsid w:val="00B2224E"/>
    <w:rsid w:val="00B22E38"/>
    <w:rsid w:val="00B2363A"/>
    <w:rsid w:val="00B24313"/>
    <w:rsid w:val="00B42331"/>
    <w:rsid w:val="00B46099"/>
    <w:rsid w:val="00B510AE"/>
    <w:rsid w:val="00B53644"/>
    <w:rsid w:val="00B60DC8"/>
    <w:rsid w:val="00B62D0F"/>
    <w:rsid w:val="00B768AF"/>
    <w:rsid w:val="00BA7536"/>
    <w:rsid w:val="00BB0860"/>
    <w:rsid w:val="00BB39DD"/>
    <w:rsid w:val="00BB680F"/>
    <w:rsid w:val="00BB7FC5"/>
    <w:rsid w:val="00BC1342"/>
    <w:rsid w:val="00BC62D5"/>
    <w:rsid w:val="00BC6CB7"/>
    <w:rsid w:val="00BD050E"/>
    <w:rsid w:val="00BD2743"/>
    <w:rsid w:val="00BD7DF3"/>
    <w:rsid w:val="00BF1385"/>
    <w:rsid w:val="00BF49D5"/>
    <w:rsid w:val="00BF777A"/>
    <w:rsid w:val="00C03A65"/>
    <w:rsid w:val="00C10C0E"/>
    <w:rsid w:val="00C13112"/>
    <w:rsid w:val="00C16A5E"/>
    <w:rsid w:val="00C23958"/>
    <w:rsid w:val="00C249D1"/>
    <w:rsid w:val="00C252CE"/>
    <w:rsid w:val="00C30056"/>
    <w:rsid w:val="00C32D13"/>
    <w:rsid w:val="00C34A4A"/>
    <w:rsid w:val="00C54531"/>
    <w:rsid w:val="00C67E33"/>
    <w:rsid w:val="00C73B3E"/>
    <w:rsid w:val="00C83828"/>
    <w:rsid w:val="00CA4B69"/>
    <w:rsid w:val="00CB5521"/>
    <w:rsid w:val="00CC140D"/>
    <w:rsid w:val="00CD46D5"/>
    <w:rsid w:val="00CD7E5B"/>
    <w:rsid w:val="00CE13D8"/>
    <w:rsid w:val="00CE6F3F"/>
    <w:rsid w:val="00CF2A73"/>
    <w:rsid w:val="00CF3DEE"/>
    <w:rsid w:val="00CF51B0"/>
    <w:rsid w:val="00D02A53"/>
    <w:rsid w:val="00D11DE5"/>
    <w:rsid w:val="00D14692"/>
    <w:rsid w:val="00D1685E"/>
    <w:rsid w:val="00D344F6"/>
    <w:rsid w:val="00D51D86"/>
    <w:rsid w:val="00D54677"/>
    <w:rsid w:val="00D55F23"/>
    <w:rsid w:val="00D57D0A"/>
    <w:rsid w:val="00D57DEC"/>
    <w:rsid w:val="00D627A7"/>
    <w:rsid w:val="00D81710"/>
    <w:rsid w:val="00DA1A53"/>
    <w:rsid w:val="00DA42C0"/>
    <w:rsid w:val="00DA45E1"/>
    <w:rsid w:val="00DA4DB9"/>
    <w:rsid w:val="00DA50DF"/>
    <w:rsid w:val="00DA60AF"/>
    <w:rsid w:val="00DB2A44"/>
    <w:rsid w:val="00DB3AFD"/>
    <w:rsid w:val="00DC7AD7"/>
    <w:rsid w:val="00DD0EDD"/>
    <w:rsid w:val="00DE00BF"/>
    <w:rsid w:val="00DE28C0"/>
    <w:rsid w:val="00DF303F"/>
    <w:rsid w:val="00DF4F34"/>
    <w:rsid w:val="00E11549"/>
    <w:rsid w:val="00E13E2A"/>
    <w:rsid w:val="00E147AD"/>
    <w:rsid w:val="00E15262"/>
    <w:rsid w:val="00E16BF2"/>
    <w:rsid w:val="00E22F47"/>
    <w:rsid w:val="00E2703B"/>
    <w:rsid w:val="00E305D6"/>
    <w:rsid w:val="00E34914"/>
    <w:rsid w:val="00E34C2F"/>
    <w:rsid w:val="00E35EB1"/>
    <w:rsid w:val="00E551BE"/>
    <w:rsid w:val="00E568AD"/>
    <w:rsid w:val="00E707D3"/>
    <w:rsid w:val="00E72D2A"/>
    <w:rsid w:val="00E74ABF"/>
    <w:rsid w:val="00E752DF"/>
    <w:rsid w:val="00E847A2"/>
    <w:rsid w:val="00E86675"/>
    <w:rsid w:val="00E9008B"/>
    <w:rsid w:val="00E9260B"/>
    <w:rsid w:val="00E9393A"/>
    <w:rsid w:val="00E94BBC"/>
    <w:rsid w:val="00EA0620"/>
    <w:rsid w:val="00EA56DA"/>
    <w:rsid w:val="00EA5CEF"/>
    <w:rsid w:val="00EA6829"/>
    <w:rsid w:val="00EA72F6"/>
    <w:rsid w:val="00EA77AE"/>
    <w:rsid w:val="00EB32B7"/>
    <w:rsid w:val="00EB5897"/>
    <w:rsid w:val="00EB5EF1"/>
    <w:rsid w:val="00EB7A5A"/>
    <w:rsid w:val="00EC2008"/>
    <w:rsid w:val="00ED114B"/>
    <w:rsid w:val="00ED71AB"/>
    <w:rsid w:val="00EF5D25"/>
    <w:rsid w:val="00F01E64"/>
    <w:rsid w:val="00F02470"/>
    <w:rsid w:val="00F04D96"/>
    <w:rsid w:val="00F06A08"/>
    <w:rsid w:val="00F11473"/>
    <w:rsid w:val="00F227A7"/>
    <w:rsid w:val="00F26597"/>
    <w:rsid w:val="00F27369"/>
    <w:rsid w:val="00F307DC"/>
    <w:rsid w:val="00F33986"/>
    <w:rsid w:val="00F47695"/>
    <w:rsid w:val="00F47F9C"/>
    <w:rsid w:val="00F5091E"/>
    <w:rsid w:val="00F542BA"/>
    <w:rsid w:val="00F5613B"/>
    <w:rsid w:val="00F6030D"/>
    <w:rsid w:val="00F62569"/>
    <w:rsid w:val="00F62685"/>
    <w:rsid w:val="00F6775C"/>
    <w:rsid w:val="00F7148F"/>
    <w:rsid w:val="00F81A0F"/>
    <w:rsid w:val="00F81F95"/>
    <w:rsid w:val="00F8479B"/>
    <w:rsid w:val="00F9034F"/>
    <w:rsid w:val="00FA0EF8"/>
    <w:rsid w:val="00FA1CFA"/>
    <w:rsid w:val="00FA39B5"/>
    <w:rsid w:val="00FB0BA0"/>
    <w:rsid w:val="00FB752F"/>
    <w:rsid w:val="00FC7675"/>
    <w:rsid w:val="00FC777F"/>
    <w:rsid w:val="00FD549E"/>
    <w:rsid w:val="00FD66DB"/>
    <w:rsid w:val="00FD6A3E"/>
    <w:rsid w:val="00FF38D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43AB4"/>
  <w15:chartTrackingRefBased/>
  <w15:docId w15:val="{6883EEBA-B652-4C9C-BD65-0584D2693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6D75"/>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E00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DE00BF"/>
  </w:style>
  <w:style w:type="table" w:styleId="TableGrid">
    <w:name w:val="Table Grid"/>
    <w:basedOn w:val="TableNormal"/>
    <w:uiPriority w:val="39"/>
    <w:rsid w:val="00DE00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E00BF"/>
    <w:pPr>
      <w:autoSpaceDE w:val="0"/>
      <w:autoSpaceDN w:val="0"/>
      <w:adjustRightInd w:val="0"/>
      <w:spacing w:after="0" w:line="240" w:lineRule="auto"/>
    </w:pPr>
    <w:rPr>
      <w:rFonts w:ascii="Times New Roman" w:eastAsia="Calibri" w:hAnsi="Times New Roman" w:cs="Times New Roman"/>
      <w:color w:val="000000"/>
      <w:sz w:val="24"/>
      <w:szCs w:val="24"/>
      <w:lang w:eastAsia="bg-BG"/>
    </w:rPr>
  </w:style>
  <w:style w:type="character" w:customStyle="1" w:styleId="Bodytext">
    <w:name w:val="Body text_"/>
    <w:basedOn w:val="DefaultParagraphFont"/>
    <w:link w:val="BodyText1"/>
    <w:rsid w:val="00DE00BF"/>
    <w:rPr>
      <w:rFonts w:ascii="Times New Roman" w:eastAsia="Times New Roman" w:hAnsi="Times New Roman" w:cs="Times New Roman"/>
      <w:spacing w:val="2"/>
      <w:shd w:val="clear" w:color="auto" w:fill="FFFFFF"/>
    </w:rPr>
  </w:style>
  <w:style w:type="paragraph" w:customStyle="1" w:styleId="BodyText1">
    <w:name w:val="Body Text1"/>
    <w:basedOn w:val="Normal"/>
    <w:link w:val="Bodytext"/>
    <w:rsid w:val="00DE00BF"/>
    <w:pPr>
      <w:widowControl w:val="0"/>
      <w:shd w:val="clear" w:color="auto" w:fill="FFFFFF"/>
      <w:spacing w:before="480" w:after="360" w:line="365" w:lineRule="exact"/>
      <w:ind w:firstLine="740"/>
      <w:jc w:val="both"/>
    </w:pPr>
    <w:rPr>
      <w:rFonts w:ascii="Times New Roman" w:eastAsia="Times New Roman" w:hAnsi="Times New Roman" w:cs="Times New Roman"/>
      <w:spacing w:val="2"/>
    </w:rPr>
  </w:style>
  <w:style w:type="character" w:customStyle="1" w:styleId="Bodytext105pt">
    <w:name w:val="Body text + 10;5 pt"/>
    <w:basedOn w:val="Bodytext"/>
    <w:rsid w:val="00DE00BF"/>
    <w:rPr>
      <w:rFonts w:ascii="Times New Roman" w:eastAsia="Times New Roman" w:hAnsi="Times New Roman" w:cs="Times New Roman"/>
      <w:color w:val="000000"/>
      <w:spacing w:val="2"/>
      <w:w w:val="100"/>
      <w:position w:val="0"/>
      <w:sz w:val="21"/>
      <w:szCs w:val="21"/>
      <w:shd w:val="clear" w:color="auto" w:fill="FFFFFF"/>
      <w:lang w:val="bg-BG" w:eastAsia="bg-BG" w:bidi="bg-BG"/>
    </w:rPr>
  </w:style>
  <w:style w:type="paragraph" w:styleId="ListParagraph">
    <w:name w:val="List Paragraph"/>
    <w:basedOn w:val="Normal"/>
    <w:uiPriority w:val="34"/>
    <w:qFormat/>
    <w:rsid w:val="00DE00BF"/>
    <w:pPr>
      <w:spacing w:line="259" w:lineRule="auto"/>
      <w:ind w:left="720"/>
      <w:contextualSpacing/>
    </w:pPr>
  </w:style>
  <w:style w:type="character" w:customStyle="1" w:styleId="BodyText3">
    <w:name w:val="Body Text3"/>
    <w:basedOn w:val="Bodytext"/>
    <w:rsid w:val="00DE00BF"/>
    <w:rPr>
      <w:rFonts w:ascii="Sylfaen" w:eastAsia="Sylfaen" w:hAnsi="Sylfaen" w:cs="Sylfaen"/>
      <w:color w:val="000000"/>
      <w:spacing w:val="4"/>
      <w:w w:val="100"/>
      <w:position w:val="0"/>
      <w:sz w:val="20"/>
      <w:szCs w:val="20"/>
      <w:shd w:val="clear" w:color="auto" w:fill="FFFFFF"/>
      <w:lang w:val="bg-BG" w:eastAsia="bg-BG" w:bidi="bg-BG"/>
    </w:rPr>
  </w:style>
  <w:style w:type="character" w:customStyle="1" w:styleId="BodytextBoldSpacing0pt">
    <w:name w:val="Body text + Bold;Spacing 0 pt"/>
    <w:basedOn w:val="Bodytext"/>
    <w:rsid w:val="00DE00BF"/>
    <w:rPr>
      <w:rFonts w:ascii="Sylfaen" w:eastAsia="Sylfaen" w:hAnsi="Sylfaen" w:cs="Sylfaen"/>
      <w:b/>
      <w:bCs/>
      <w:color w:val="000000"/>
      <w:spacing w:val="8"/>
      <w:w w:val="100"/>
      <w:position w:val="0"/>
      <w:sz w:val="20"/>
      <w:szCs w:val="20"/>
      <w:shd w:val="clear" w:color="auto" w:fill="FFFFFF"/>
      <w:lang w:val="bg-BG" w:eastAsia="bg-BG" w:bidi="bg-BG"/>
    </w:rPr>
  </w:style>
  <w:style w:type="character" w:customStyle="1" w:styleId="BodytextMSReferenceSansSerif105ptSpacing0pt">
    <w:name w:val="Body text + MS Reference Sans Serif;10;5 pt;Spacing 0 pt"/>
    <w:basedOn w:val="Bodytext"/>
    <w:rsid w:val="00DE00BF"/>
    <w:rPr>
      <w:rFonts w:ascii="MS Reference Sans Serif" w:eastAsia="MS Reference Sans Serif" w:hAnsi="MS Reference Sans Serif" w:cs="MS Reference Sans Serif"/>
      <w:color w:val="000000"/>
      <w:spacing w:val="-11"/>
      <w:w w:val="100"/>
      <w:position w:val="0"/>
      <w:sz w:val="21"/>
      <w:szCs w:val="21"/>
      <w:shd w:val="clear" w:color="auto" w:fill="FFFFFF"/>
      <w:lang w:val="bg-BG" w:eastAsia="bg-BG" w:bidi="bg-BG"/>
    </w:rPr>
  </w:style>
  <w:style w:type="character" w:customStyle="1" w:styleId="BodyText4">
    <w:name w:val="Body Text4"/>
    <w:basedOn w:val="Bodytext"/>
    <w:rsid w:val="00DE00BF"/>
    <w:rPr>
      <w:rFonts w:ascii="Sylfaen" w:eastAsia="Sylfaen" w:hAnsi="Sylfaen" w:cs="Sylfaen"/>
      <w:color w:val="000000"/>
      <w:spacing w:val="4"/>
      <w:w w:val="100"/>
      <w:position w:val="0"/>
      <w:sz w:val="20"/>
      <w:szCs w:val="20"/>
      <w:shd w:val="clear" w:color="auto" w:fill="FFFFFF"/>
      <w:lang w:val="bg-BG" w:eastAsia="bg-BG" w:bidi="bg-BG"/>
    </w:rPr>
  </w:style>
  <w:style w:type="character" w:customStyle="1" w:styleId="BodyText5">
    <w:name w:val="Body Text5"/>
    <w:basedOn w:val="Bodytext"/>
    <w:rsid w:val="00DE00BF"/>
    <w:rPr>
      <w:rFonts w:ascii="Sylfaen" w:eastAsia="Sylfaen" w:hAnsi="Sylfaen" w:cs="Sylfaen"/>
      <w:color w:val="000000"/>
      <w:spacing w:val="4"/>
      <w:w w:val="100"/>
      <w:position w:val="0"/>
      <w:sz w:val="20"/>
      <w:szCs w:val="20"/>
      <w:shd w:val="clear" w:color="auto" w:fill="FFFFFF"/>
      <w:lang w:val="bg-BG" w:eastAsia="bg-BG" w:bidi="bg-BG"/>
    </w:rPr>
  </w:style>
  <w:style w:type="paragraph" w:customStyle="1" w:styleId="BodyText8">
    <w:name w:val="Body Text8"/>
    <w:basedOn w:val="Normal"/>
    <w:rsid w:val="00DE00BF"/>
    <w:pPr>
      <w:widowControl w:val="0"/>
      <w:shd w:val="clear" w:color="auto" w:fill="FFFFFF"/>
      <w:spacing w:before="600" w:after="480" w:line="283" w:lineRule="exact"/>
      <w:ind w:hanging="1060"/>
    </w:pPr>
    <w:rPr>
      <w:rFonts w:ascii="Sylfaen" w:eastAsia="Sylfaen" w:hAnsi="Sylfaen" w:cs="Sylfaen"/>
      <w:spacing w:val="4"/>
      <w:sz w:val="20"/>
      <w:szCs w:val="20"/>
      <w:lang w:eastAsia="bg-BG" w:bidi="bg-BG"/>
    </w:rPr>
  </w:style>
  <w:style w:type="character" w:customStyle="1" w:styleId="BodytextItalicSpacing0pt">
    <w:name w:val="Body text + Italic;Spacing 0 pt"/>
    <w:basedOn w:val="Bodytext"/>
    <w:rsid w:val="00DE00BF"/>
    <w:rPr>
      <w:rFonts w:ascii="Times New Roman" w:eastAsia="Times New Roman" w:hAnsi="Times New Roman" w:cs="Times New Roman"/>
      <w:b w:val="0"/>
      <w:bCs w:val="0"/>
      <w:i/>
      <w:iCs/>
      <w:smallCaps w:val="0"/>
      <w:strike w:val="0"/>
      <w:color w:val="000000"/>
      <w:spacing w:val="-7"/>
      <w:w w:val="100"/>
      <w:position w:val="0"/>
      <w:sz w:val="26"/>
      <w:szCs w:val="26"/>
      <w:u w:val="none"/>
      <w:shd w:val="clear" w:color="auto" w:fill="FFFFFF"/>
      <w:lang w:val="bg-BG" w:eastAsia="bg-BG" w:bidi="bg-BG"/>
    </w:rPr>
  </w:style>
  <w:style w:type="character" w:customStyle="1" w:styleId="BodyText2">
    <w:name w:val="Body Text2"/>
    <w:basedOn w:val="Bodytext"/>
    <w:rsid w:val="00DE00BF"/>
    <w:rPr>
      <w:rFonts w:ascii="Times New Roman" w:eastAsia="Times New Roman" w:hAnsi="Times New Roman" w:cs="Times New Roman"/>
      <w:b w:val="0"/>
      <w:bCs w:val="0"/>
      <w:i w:val="0"/>
      <w:iCs w:val="0"/>
      <w:smallCaps w:val="0"/>
      <w:strike w:val="0"/>
      <w:color w:val="000000"/>
      <w:spacing w:val="-6"/>
      <w:w w:val="100"/>
      <w:position w:val="0"/>
      <w:sz w:val="26"/>
      <w:szCs w:val="26"/>
      <w:u w:val="none"/>
      <w:shd w:val="clear" w:color="auto" w:fill="FFFFFF"/>
      <w:lang w:val="bg-BG" w:eastAsia="bg-BG" w:bidi="bg-BG"/>
    </w:rPr>
  </w:style>
  <w:style w:type="character" w:customStyle="1" w:styleId="BodytextCenturyGothic11ptBoldSpacing0pt">
    <w:name w:val="Body text + Century Gothic;11 pt;Bold;Spacing 0 pt"/>
    <w:basedOn w:val="Bodytext"/>
    <w:rsid w:val="00DE00BF"/>
    <w:rPr>
      <w:rFonts w:ascii="Century Gothic" w:eastAsia="Century Gothic" w:hAnsi="Century Gothic" w:cs="Century Gothic"/>
      <w:b/>
      <w:bCs/>
      <w:i w:val="0"/>
      <w:iCs w:val="0"/>
      <w:smallCaps w:val="0"/>
      <w:strike w:val="0"/>
      <w:color w:val="000000"/>
      <w:spacing w:val="0"/>
      <w:w w:val="100"/>
      <w:position w:val="0"/>
      <w:sz w:val="22"/>
      <w:szCs w:val="22"/>
      <w:u w:val="none"/>
      <w:shd w:val="clear" w:color="auto" w:fill="FFFFFF"/>
      <w:lang w:val="bg-BG" w:eastAsia="bg-BG" w:bidi="bg-BG"/>
    </w:rPr>
  </w:style>
  <w:style w:type="character" w:customStyle="1" w:styleId="BodytextTahoma95ptBoldSpacing0pt">
    <w:name w:val="Body text + Tahoma;9;5 pt;Bold;Spacing 0 pt"/>
    <w:basedOn w:val="Bodytext"/>
    <w:rsid w:val="00DE00BF"/>
    <w:rPr>
      <w:rFonts w:ascii="Tahoma" w:eastAsia="Tahoma" w:hAnsi="Tahoma" w:cs="Tahoma"/>
      <w:b/>
      <w:bCs/>
      <w:i w:val="0"/>
      <w:iCs w:val="0"/>
      <w:smallCaps w:val="0"/>
      <w:strike w:val="0"/>
      <w:color w:val="000000"/>
      <w:spacing w:val="0"/>
      <w:w w:val="100"/>
      <w:position w:val="0"/>
      <w:sz w:val="19"/>
      <w:szCs w:val="19"/>
      <w:u w:val="none"/>
      <w:shd w:val="clear" w:color="auto" w:fill="FFFFFF"/>
      <w:lang w:val="bg-BG" w:eastAsia="bg-BG" w:bidi="bg-BG"/>
    </w:rPr>
  </w:style>
  <w:style w:type="character" w:customStyle="1" w:styleId="BodytextMicrosoftSansSerifSpacing0pt">
    <w:name w:val="Body text + Microsoft Sans Serif;Spacing 0 pt"/>
    <w:basedOn w:val="Bodytext"/>
    <w:rsid w:val="00DE00BF"/>
    <w:rPr>
      <w:rFonts w:ascii="Microsoft Sans Serif" w:eastAsia="Microsoft Sans Serif" w:hAnsi="Microsoft Sans Serif" w:cs="Microsoft Sans Serif"/>
      <w:b w:val="0"/>
      <w:bCs w:val="0"/>
      <w:i w:val="0"/>
      <w:iCs w:val="0"/>
      <w:smallCaps w:val="0"/>
      <w:strike w:val="0"/>
      <w:color w:val="000000"/>
      <w:spacing w:val="0"/>
      <w:w w:val="100"/>
      <w:position w:val="0"/>
      <w:sz w:val="26"/>
      <w:szCs w:val="26"/>
      <w:u w:val="none"/>
      <w:shd w:val="clear" w:color="auto" w:fill="FFFFFF"/>
      <w:lang w:val="bg-BG" w:eastAsia="bg-BG" w:bidi="bg-BG"/>
    </w:rPr>
  </w:style>
  <w:style w:type="character" w:customStyle="1" w:styleId="BalloonTextChar">
    <w:name w:val="Balloon Text Char"/>
    <w:basedOn w:val="DefaultParagraphFont"/>
    <w:link w:val="BalloonText"/>
    <w:uiPriority w:val="99"/>
    <w:semiHidden/>
    <w:rsid w:val="00DE00BF"/>
    <w:rPr>
      <w:rFonts w:ascii="Segoe UI" w:hAnsi="Segoe UI" w:cs="Segoe UI"/>
      <w:sz w:val="18"/>
      <w:szCs w:val="18"/>
    </w:rPr>
  </w:style>
  <w:style w:type="paragraph" w:styleId="BalloonText">
    <w:name w:val="Balloon Text"/>
    <w:basedOn w:val="Normal"/>
    <w:link w:val="BalloonTextChar"/>
    <w:uiPriority w:val="99"/>
    <w:semiHidden/>
    <w:unhideWhenUsed/>
    <w:rsid w:val="00DE00BF"/>
    <w:pPr>
      <w:spacing w:after="0" w:line="240" w:lineRule="auto"/>
    </w:pPr>
    <w:rPr>
      <w:rFonts w:ascii="Segoe UI" w:hAnsi="Segoe UI" w:cs="Segoe UI"/>
      <w:sz w:val="18"/>
      <w:szCs w:val="18"/>
    </w:rPr>
  </w:style>
  <w:style w:type="paragraph" w:styleId="Header">
    <w:name w:val="header"/>
    <w:basedOn w:val="Normal"/>
    <w:link w:val="HeaderChar"/>
    <w:uiPriority w:val="99"/>
    <w:unhideWhenUsed/>
    <w:rsid w:val="00DE00BF"/>
    <w:pPr>
      <w:tabs>
        <w:tab w:val="center" w:pos="4536"/>
        <w:tab w:val="right" w:pos="9072"/>
      </w:tabs>
      <w:spacing w:after="0" w:line="240" w:lineRule="auto"/>
    </w:pPr>
  </w:style>
  <w:style w:type="character" w:customStyle="1" w:styleId="HeaderChar">
    <w:name w:val="Header Char"/>
    <w:basedOn w:val="DefaultParagraphFont"/>
    <w:link w:val="Header"/>
    <w:uiPriority w:val="99"/>
    <w:rsid w:val="00DE00BF"/>
  </w:style>
  <w:style w:type="character" w:customStyle="1" w:styleId="CommentTextChar">
    <w:name w:val="Comment Text Char"/>
    <w:basedOn w:val="DefaultParagraphFont"/>
    <w:link w:val="CommentText"/>
    <w:uiPriority w:val="99"/>
    <w:semiHidden/>
    <w:rsid w:val="00DE00BF"/>
    <w:rPr>
      <w:rFonts w:ascii="Verdana" w:eastAsia="Calibri" w:hAnsi="Verdana" w:cs="Times New Roman"/>
      <w:sz w:val="20"/>
      <w:szCs w:val="20"/>
      <w:lang w:val="en-GB"/>
    </w:rPr>
  </w:style>
  <w:style w:type="paragraph" w:styleId="CommentText">
    <w:name w:val="annotation text"/>
    <w:basedOn w:val="Normal"/>
    <w:link w:val="CommentTextChar"/>
    <w:uiPriority w:val="99"/>
    <w:semiHidden/>
    <w:unhideWhenUsed/>
    <w:rsid w:val="00DE00BF"/>
    <w:pPr>
      <w:spacing w:after="200" w:line="240" w:lineRule="auto"/>
    </w:pPr>
    <w:rPr>
      <w:rFonts w:ascii="Verdana" w:eastAsia="Calibri" w:hAnsi="Verdana" w:cs="Times New Roman"/>
      <w:sz w:val="20"/>
      <w:szCs w:val="20"/>
      <w:lang w:val="en-GB"/>
    </w:rPr>
  </w:style>
  <w:style w:type="paragraph" w:styleId="PlainText">
    <w:name w:val="Plain Text"/>
    <w:basedOn w:val="Normal"/>
    <w:link w:val="PlainTextChar"/>
    <w:uiPriority w:val="99"/>
    <w:semiHidden/>
    <w:unhideWhenUsed/>
    <w:rsid w:val="00DE00BF"/>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DE00BF"/>
    <w:rPr>
      <w:rFonts w:ascii="Calibri" w:hAnsi="Calibri"/>
      <w:szCs w:val="21"/>
    </w:rPr>
  </w:style>
  <w:style w:type="character" w:customStyle="1" w:styleId="BodytextSpacing0pt">
    <w:name w:val="Body text + Spacing 0 pt"/>
    <w:basedOn w:val="Bodytext"/>
    <w:rsid w:val="00FD6A3E"/>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paragraph" w:styleId="BodyTextIndent">
    <w:name w:val="Body Text Indent"/>
    <w:basedOn w:val="Normal"/>
    <w:link w:val="BodyTextIndentChar"/>
    <w:uiPriority w:val="99"/>
    <w:semiHidden/>
    <w:unhideWhenUsed/>
    <w:rsid w:val="00F81A0F"/>
    <w:pPr>
      <w:spacing w:after="120" w:line="254" w:lineRule="auto"/>
      <w:ind w:left="283"/>
    </w:pPr>
  </w:style>
  <w:style w:type="character" w:customStyle="1" w:styleId="BodyTextIndentChar">
    <w:name w:val="Body Text Indent Char"/>
    <w:basedOn w:val="DefaultParagraphFont"/>
    <w:link w:val="BodyTextIndent"/>
    <w:uiPriority w:val="99"/>
    <w:semiHidden/>
    <w:rsid w:val="00F81A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859479">
      <w:bodyDiv w:val="1"/>
      <w:marLeft w:val="0"/>
      <w:marRight w:val="0"/>
      <w:marTop w:val="0"/>
      <w:marBottom w:val="0"/>
      <w:divBdr>
        <w:top w:val="none" w:sz="0" w:space="0" w:color="auto"/>
        <w:left w:val="none" w:sz="0" w:space="0" w:color="auto"/>
        <w:bottom w:val="none" w:sz="0" w:space="0" w:color="auto"/>
        <w:right w:val="none" w:sz="0" w:space="0" w:color="auto"/>
      </w:divBdr>
    </w:div>
    <w:div w:id="709958638">
      <w:bodyDiv w:val="1"/>
      <w:marLeft w:val="0"/>
      <w:marRight w:val="0"/>
      <w:marTop w:val="0"/>
      <w:marBottom w:val="0"/>
      <w:divBdr>
        <w:top w:val="none" w:sz="0" w:space="0" w:color="auto"/>
        <w:left w:val="none" w:sz="0" w:space="0" w:color="auto"/>
        <w:bottom w:val="none" w:sz="0" w:space="0" w:color="auto"/>
        <w:right w:val="none" w:sz="0" w:space="0" w:color="auto"/>
      </w:divBdr>
    </w:div>
    <w:div w:id="1484808234">
      <w:bodyDiv w:val="1"/>
      <w:marLeft w:val="0"/>
      <w:marRight w:val="0"/>
      <w:marTop w:val="0"/>
      <w:marBottom w:val="0"/>
      <w:divBdr>
        <w:top w:val="none" w:sz="0" w:space="0" w:color="auto"/>
        <w:left w:val="none" w:sz="0" w:space="0" w:color="auto"/>
        <w:bottom w:val="none" w:sz="0" w:space="0" w:color="auto"/>
        <w:right w:val="none" w:sz="0" w:space="0" w:color="auto"/>
      </w:divBdr>
    </w:div>
    <w:div w:id="1651136754">
      <w:bodyDiv w:val="1"/>
      <w:marLeft w:val="0"/>
      <w:marRight w:val="0"/>
      <w:marTop w:val="0"/>
      <w:marBottom w:val="0"/>
      <w:divBdr>
        <w:top w:val="none" w:sz="0" w:space="0" w:color="auto"/>
        <w:left w:val="none" w:sz="0" w:space="0" w:color="auto"/>
        <w:bottom w:val="none" w:sz="0" w:space="0" w:color="auto"/>
        <w:right w:val="none" w:sz="0" w:space="0" w:color="auto"/>
      </w:divBdr>
    </w:div>
    <w:div w:id="1760443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F2BDAC-A901-4362-BE93-26C342504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92</Pages>
  <Words>36664</Words>
  <Characters>208985</Characters>
  <Application>Microsoft Office Word</Application>
  <DocSecurity>0</DocSecurity>
  <Lines>1741</Lines>
  <Paragraphs>490</Paragraphs>
  <ScaleCrop>false</ScaleCrop>
  <HeadingPairs>
    <vt:vector size="2" baseType="variant">
      <vt:variant>
        <vt:lpstr>Title</vt:lpstr>
      </vt:variant>
      <vt:variant>
        <vt:i4>1</vt:i4>
      </vt:variant>
    </vt:vector>
  </HeadingPairs>
  <TitlesOfParts>
    <vt:vector size="1" baseType="lpstr">
      <vt:lpstr/>
    </vt:vector>
  </TitlesOfParts>
  <Company>Ministry Of Finance</Company>
  <LinksUpToDate>false</LinksUpToDate>
  <CharactersWithSpaces>245159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 Драганов</dc:creator>
  <cp:keywords/>
  <dc:description/>
  <cp:lastModifiedBy>ДБЮ</cp:lastModifiedBy>
  <cp:revision>8</cp:revision>
  <cp:lastPrinted>2023-11-17T09:51:00Z</cp:lastPrinted>
  <dcterms:created xsi:type="dcterms:W3CDTF">2023-11-23T15:33:00Z</dcterms:created>
  <dcterms:modified xsi:type="dcterms:W3CDTF">2023-11-24T07:07:00Z</dcterms:modified>
</cp:coreProperties>
</file>